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VAG 2016 — Berechnung der Matching-Anpassung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Matching-Anpassung nach § 80 ist für jede Währung nach folgenden Grundsätzen zu berechnen:</w:t>
      </w:r>
    </w:p>
    <w:p>
      <w:pPr>
        <w:ind w:left="420"/>
      </w:pPr>
      <w:r>
        <w:t xml:space="preserve">1. die Matching-Anpassung entspricht der Differenz zwischen</w:t>
      </w:r>
    </w:p>
    <w:p>
      <w:pPr>
        <w:ind w:left="780"/>
      </w:pPr>
      <w:r>
        <w:t xml:space="preserve">a) dem effektiven Jahreszinssatz, der als konstanter Abzinsungssatz berechnet wird, der angewandt auf die Zahlungsströme des Portfolios der Versicherungs- oder Rückversicherungsverpflichtungen zu einem Wert führt, der dem Wert gemäß § 74 des Portfolios der zugeordneten Vermögenswerte entspricht;</w:t>
      </w:r>
    </w:p>
    <w:p>
      <w:pPr>
        <w:ind w:left="780"/>
      </w:pPr>
      <w:r>
        <w:t xml:space="preserve">b) dem effektiven Jahreszinssatz, der als ein konstanter Abzinsungssatz berechnet wird, der angewandt auf die Zahlungsströme des Portfolios der Versicherungs- oder Rückversicherungsverpflichtungen zu einem Wert führt, der dem besten Schätzwert des Portfolios der Versicherungs- oder Rückversicherungsverpflichtungen entspricht, wenn der Zeitwert des Geldes unter Verwendung der grundlegenden risikofreien Zinskurve berücksichtigt wird;</w:t>
      </w:r>
    </w:p>
    <w:p>
      <w:pPr>
        <w:ind w:left="420"/>
      </w:pPr>
      <w:r>
        <w:t xml:space="preserve">2. die Matching-Anpassung umfasst nicht den grundlegenden Spread, der die von dem Versicherungsunternehmen zurückbehaltenen Risiken widerspiegelt;</w:t>
      </w:r>
    </w:p>
    <w:p>
      <w:pPr>
        <w:ind w:left="420"/>
      </w:pPr>
      <w:r>
        <w:t xml:space="preserve">3. unbeschadet der Nummer 1 wird der grundlegende Spread bei Bedarf erhöht, um sicherzustellen, dass die Matching-Anpassung für Vermögenswerte, deren Kreditqualität unter dem Investment Grade liegt, nicht höher ist als die Matching-Anpassung für Vermögenswerte, deren Kreditqualität als Investment Grade eingestuft wurde, die dieselbe Duration aufweisen und die derselben Kategorie von Vermögenswerten angehören;</w:t>
      </w:r>
    </w:p>
    <w:p>
      <w:pPr>
        <w:ind w:left="420"/>
      </w:pPr>
      <w:r>
        <w:t xml:space="preserve">4. die Verwendung externer Ratings bei der Berechnung der Matching-Anpassung hat im Einklang mit den von der Europäischen Kommission gemäß Artikel 111 Absatz 1 Buchstabe n der Richtlinie 2009/138/EG erlassenen delegierten Rechtsakten zu stehen.</w:t>
      </w:r>
    </w:p>
    <w:p>
      <w:r>
        <w:rPr>
          <w:color w:val="555555"/>
          <w:sz w:val="17"/>
        </w:rPr>
        <w:t xml:space="preserve">Zitiervorschlag: § 81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