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80 VAG 2016 — Matching-Anpassung an die maßgebliche risikofreie Zinskurve</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Mit Genehmigung der Aufsichtsbehörde können Versicherungsunternehmen eine Matching-Anpassung an die maßgebliche risikofreie Zinskurve vornehmen, um den besten Schätzwert des Portfolios der Lebensversicherungs- oder Rückversicherungsverpflichtungen zu berechnen, einschließlich der Rentenversicherungen, die aus Nichtlebensversicherungs- oder Rückversicherungsverträgen stammen. Die Genehmigung wird erteilt, wenn folgende Voraussetzungen erfüllt sind:</w:t>
      </w:r>
    </w:p>
    <w:p>
      <w:pPr>
        <w:ind w:left="420"/>
      </w:pPr>
      <w:r>
        <w:t xml:space="preserve">1. das Versicherungsunternehmen hat ein Portfolio aus Vermögenswerten, bestehend aus Anleihen und sonstigen Vermögenswerten mit ähnlichen Zahlungsstrom-Eigenschaften, festgelegt, um den besten Schätzwert des Portfolios der Versicherungs- oder Rückversicherungsverpflichtungen zu bedecken und behält diese Festlegung während des Bestehens der Verpflichtungen bei, es sei denn, eine Abweichung erfolgt zu dem Zweck, die Replikation der erwarteten Zahlungsströme zwischen Vermögenswerten und Verbindlichkeiten aufrechtzuerhalten, wenn sich die Zahlungsströme wesentlich verändert haben;</w:t>
      </w:r>
    </w:p>
    <w:p>
      <w:pPr>
        <w:ind w:left="420"/>
      </w:pPr>
      <w:r>
        <w:t xml:space="preserve">2. das Portfolio der Versicherungs- oder Rückversicherungsverpflichtungen, bei denen die Matching-Anpassung vorgenommen werden soll, und das zugeordnete Vermögensportfolio werden getrennt von den anderen Aktivitäten des Unternehmens identifiziert, organisiert und verwaltet und das zugeordnete Vermögensportfolio kann nicht verwendet werden, um Verluste aus anderen Aktivitäten des Unternehmens abzudecken;</w:t>
      </w:r>
    </w:p>
    <w:p>
      <w:pPr>
        <w:ind w:left="420"/>
      </w:pPr>
      <w:r>
        <w:t xml:space="preserve">3. die erwarteten Zahlungsströme des zugeordneten Vermögensportfolios replizieren sämtliche künftigen Zahlungsströme des Portfolios der Versicherungs- oder Rückversicherungsverpflichtungen in derselben Währung und Inkongruenzen ziehen keine Risiken nach sich, die im Vergleich zu den inhärenten Risiken des Versicherungs- oder Rückversicherungsgeschäfts, bei dem eine Matching-Anpassung vorgenommen wird, wesentlich sind;</w:t>
      </w:r>
    </w:p>
    <w:p>
      <w:pPr>
        <w:ind w:left="420"/>
      </w:pPr>
      <w:r>
        <w:t xml:space="preserve">4. die dem Portfolio der Verpflichtungen zugrunde liegenden Versicherungs- und Rückversicherungsverträge führen nicht zu künftigen Prämienzahlungen;</w:t>
      </w:r>
    </w:p>
    <w:p>
      <w:pPr>
        <w:ind w:left="420"/>
      </w:pPr>
      <w:r>
        <w:t xml:space="preserve">5. die einzigen versicherungstechnischen Risiken im Zusammenhang mit dem Portfolio der Versicherungs- oder Rückversicherungsverpflichtungen sind das Langlebigkeitsrisiko, das Kostenrisiko, das Revisionsrisiko und das Sterblichkeitsrisiko;</w:t>
      </w:r>
    </w:p>
    <w:p>
      <w:pPr>
        <w:ind w:left="420"/>
      </w:pPr>
      <w:r>
        <w:t xml:space="preserve">6. das Sterblichkeitsrisiko gehört zu den versicherungstechnischen Risiken im Zusammenhang mit dem Portfolio der Versicherungs- oder Rückversicherungsverpflichtungen und es erhöht sich der beste Schätzwert des Portfolios der Versicherungs- oder Rückversicherungsverpflichtungen nicht um mehr als 5 Prozent unter einem Sterblichkeitsrisikostress, der gemäß § 97 kalibriert wird;</w:t>
      </w:r>
    </w:p>
    <w:p>
      <w:pPr>
        <w:ind w:left="420"/>
      </w:pPr>
      <w:r>
        <w:t xml:space="preserve">7. die dem Portfolio der Versicherungs- oder Rückversicherungsverpflichtungen zugrunde liegenden Verträge enthalten keine Optionen für den Versicherungsnehmer oder nur eine Rückkaufoption, bei der der Rückkaufwert den Wert der gemäß § 74 bewerteten Vermögenswerte, die im Zeitpunkt der Ausübung der Rückkaufoption die Versicherungs- oder Rückversicherungsverpflichtungen abdecken, nicht übersteigt;</w:t>
      </w:r>
    </w:p>
    <w:p>
      <w:pPr>
        <w:ind w:left="420"/>
      </w:pPr>
      <w:r>
        <w:t xml:space="preserve">8. die Vermögenswerte des zugeordneten Vermögensportfolios generieren fixe Zahlungsströme, die von den Emittenten der Vermögenswerte oder Dritten nicht verändert werden können, und</w:t>
      </w:r>
    </w:p>
    <w:p>
      <w:pPr>
        <w:ind w:left="420"/>
      </w:pPr>
      <w:r>
        <w:t xml:space="preserve">9. die Versicherungs- oder Rückversicherungsverpflichtungen eines Versicherungs- oder Rückversicherungsvertrags werden bei der Zusammenstellung des Portfolios der Versicherungs- oder Rückversicherungsverpflichtungen für die Zwecke dieses Absatzes nicht in verschiedene Teile geteilt.</w:t>
      </w:r>
    </w:p>
    <w:p>
      <w:r>
        <w:t xml:space="preserve">Unbeschadet des Satzes 2 Nummer 8 können Versicherungsunternehmen Vermögenswerte verwenden, deren Zahlungsströme abgesehen von der Inflationsabhängigkeit fix sind, wenn diese Vermögenswerte die in den Zahlungsströmen des Portfolios der inflationsabhängigen Versicherungs- oder Rückversicherungsverpflichtungen enthaltene Inflation replizieren. Haben Emittenten oder Dritte das Recht, Zahlungsströme von Vermögenswerten so zu ändern, dass der Anleger hinreichenden Ausgleich erhält, um den gleichen Zahlungsstrom durch Reinvestitionen in Vermögenswerte gleicher oder besserer Kreditqualität zu erhalten, schließt das Recht, Zahlungsströme zu ändern, den Vermögenswert nicht von der Zulässigkeit für das zugeordnete Portfolio gemäß Satz 2 Nummer 8 aus.</w:t>
      </w:r>
    </w:p>
    <w:p>
      <w:r>
        <w:t xml:space="preserve">(2) Versicherungs- oder Rückversicherungsunternehmen, die die Matching-Anpassung an einem Portfolio von Versicherungs- oder Rückversicherungsverpflichtungen vornehmen, dürfen nicht zu einem Ansatz zurückkehren, der keine Matching-Anpassung umfasst. Ist ein Versicherungs- oder Rückversicherungsunternehmen, das die Matching-Anpassung vornimmt, nicht mehr in der Lage, die in Absatz 1 genannten Voraussetzungen zu erfüllen, hat es die Aufsichtsbehörde unverzüglich davon in Kenntnis zu setzen und die erforderlichen Maßnahmen zu ergreifen, damit diese Voraussetzungen wieder erfüllt werden. Gelingt es dem Unternehmen nicht, innerhalb von zwei Monaten ab dem Zeitpunkt der Nichteinhaltung die in Absatz 1 genannten Voraussetzungen wieder zu erfüllen, darf es bei seinen Versicherungs- oder Rückversicherungsverpflichtungen keine Matching-Anpassung mehr vornehmen und die Matching-Anpassung erst nach weiteren 24 Monaten wieder aufnehmen.</w:t>
      </w:r>
    </w:p>
    <w:p>
      <w:r>
        <w:t xml:space="preserve">(3) Die Matching-Anpassung darf nicht auf Versicherungs- oder Rückversicherungsverpflichtungen angewandt werden, bei denen die maßgebliche risikofreie Zinskurve für die Berechnung des besten Schätzwerts dieser Verpflichtungen eine Volatilitätsanpassung nach § 82 oder eine Übergangsmaßnahme zu den risikofreien Zinssätzen gemäß § 351 enthält.</w:t>
      </w:r>
    </w:p>
    <w:p>
      <w:r>
        <w:rPr>
          <w:color w:val="555555"/>
          <w:sz w:val="17"/>
        </w:rPr>
        <w:t xml:space="preserve">Zitiervorschlag: § 80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https://recht.nulegal.eu/gesetze/VAG%202016/80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