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VAG 2016 — Erlaubnis; Spartentrennung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Versicherungsunternehmen mit Sitz im Inland bedürfen zum Geschäftsbetrieb der Erlaubnis der Aufsichtsbehörde.</w:t>
      </w:r>
    </w:p>
    <w:p>
      <w:r>
        <w:t xml:space="preserve">(2) Die Erlaubnis darf nur Aktiengesellschaften einschließlich der Europäischen Gesellschaft, Versicherungsvereinen auf Gegenseitigkeit sowie Körperschaften und Anstalten des öffentlichen Rechts erteilt werden.</w:t>
      </w:r>
    </w:p>
    <w:p>
      <w:r>
        <w:t xml:space="preserve">(3) Der Ort der Hauptverwaltung muss im Inland liegen.</w:t>
      </w:r>
    </w:p>
    <w:p>
      <w:r>
        <w:t xml:space="preserve">(4) Ein Rückversicherungsunternehmen wird nur zum Betrieb der Rückversicherung zugelassen. Bei Erstversicherungsunternehmen schließen die Erlaubnis zum Betrieb der Lebensversicherung im Sinne der Anlage 1 Nummer 19 bis 24 und die Erlaubnis zum Betrieb anderer Versicherungssparten einander aus; das Gleiche gilt für die Erlaubnis zum Betrieb der Krankenversicherung im Sinne des § 146 Absatz 1 und die Erlaubnis zum Betrieb anderer Versicherungssparten.</w:t>
      </w:r>
    </w:p>
    <w:p>
      <w:r>
        <w:t xml:space="preserve">(5) Die Aufsichtsbehörde macht die Erteilung und den Widerruf der Erlaubnis im elektronischen Informationsmedium nach § 318 Absatz 3 bekannt und meldet sie der Europäischen Aufsichtsbehörde für das Versicherungswesen und die betriebliche Altersversorgung. Ist ein gemäß § 221 sicherungspflichtiges Versicherungsunternehmen betroffen, informiert sie zusätzlich den Sicherungsfonds.</w:t>
      </w:r>
    </w:p>
    <w:p>
      <w:r>
        <w:t xml:space="preserve">(6) Ein Versicherungsunternehmen bedarf der Erlaubnis nach Absatz 1 auch dann, wenn es im Zuge einer Umwandlung nach § 305, § 320 oder § 333 des Umwandlungsgesetzes seinen Sitz vom Ausland ins Inland verlegt.</w:t>
      </w:r>
    </w:p>
    <w:p>
      <w:r>
        <w:rPr>
          <w:color w:val="555555"/>
          <w:sz w:val="17"/>
        </w:rPr>
        <w:t xml:space="preserve">Zitiervorschlag: § 8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