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VAG 2016 — Allgemeine Grundsätze für die Berechnung der versicherungstechnischen Rückstellungen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müssen über interne Prozesse und Verfahren verfügen, um die Genauigkeit, Vollständigkeit und Angemessenheit der bei der Berechnung der versicherungstechnischen Rückstellungen verwendeten Daten zu gewährleisten.</w:t>
      </w:r>
    </w:p>
    <w:p>
      <w:r>
        <w:t xml:space="preserve">(2) Wenn den Versicherungsunternehmen Daten von angemessener Qualität nicht in genügender Menge zur Verfügung stehen, um eine verlässliche versicherungsmathematische Methode auf eine Gruppe oder Untergruppe ihrer Versicherungsverpflichtungen oder auf einforderbare Beträge aus Rückversicherungsverträgen und gegenüber Zweckgesellschaften anzuwenden, können die Versicherungsunternehmen für die Berechnung des besten Schätzwerts geeignete Näherungswerte einschließlich Einzelfallanalysen verwenden.</w:t>
      </w:r>
    </w:p>
    <w:p>
      <w:r>
        <w:rPr>
          <w:color w:val="555555"/>
          <w:sz w:val="17"/>
        </w:rPr>
        <w:t xml:space="preserve">Zitiervorschlag: § 79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