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VAG 2016 — Bester Schätzwert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beste Schätzwert entspricht dem wahrscheinlichkeitsgewichteten Durchschnitt künftiger Zahlungsströme unter Berücksichtigung des Zeitwerts des Geldes (erwarteter Barwert künftiger Zahlungsströme) und unter Verwendung der maßgeblichen risikofreien Zinskurve.</w:t>
      </w:r>
    </w:p>
    <w:p>
      <w:r>
        <w:t xml:space="preserve">(2) Die Berechnung des besten Schätzwerts hat auf der Grundlage aktueller und glaubhafter Informationen sowie realistischer Annahmen zu erfolgen. Sie stützt sich auf geeignete, passende und angemessene versicherungsmathematische und statistische Methoden.</w:t>
      </w:r>
    </w:p>
    <w:p>
      <w:r>
        <w:t xml:space="preserve">(3) Bei der Projektion der künftigen Zahlungsströme werden alle ein- und ausgehenden Zahlungsströme berücksichtigt, die zur Abrechnung der Versicherungsverbindlichkeiten während ihrer Laufzeit benötigt werden.</w:t>
      </w:r>
    </w:p>
    <w:p>
      <w:r>
        <w:t xml:space="preserve">(4) Der beste Schätzwert wird ohne Abzug der aus Rückversicherungsverträgen und von Zweckgesellschaften einforderbaren Beträge berechnet. Diese Beträge werden nach § 86 gesondert berechnet.</w:t>
      </w:r>
    </w:p>
    <w:p>
      <w:r>
        <w:t xml:space="preserve">(5) Bei Währungen und Binnenmärkten, für die die in Artikel 77e Absatz 1 Buchstabe c der Richtlinie 2009/138/EG genannte Anpassung nicht in den Durchführungsrechtsakten nach Artikel 77e Absatz 2 der Richtlinie 2009/138/EG enthalten ist, wird zur Berechnung des besten Schätzwerts keine Volatilitätsanpassung auf die maßgebliche risikofreie Zinskurve angewandt.</w:t>
      </w:r>
    </w:p>
    <w:p>
      <w:r>
        <w:rPr>
          <w:color w:val="555555"/>
          <w:sz w:val="17"/>
        </w:rPr>
        <w:t xml:space="preserve">Zitiervorschlag: § 77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