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VAG 2016 — Allgemeine Vorschriften für die Bildung versicherungstechnischer Rückstellungen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Solvabilitätsübersicht sind für sämtliche Versicherungsverpflichtungen gegenüber Versicherungsnehmern und Anspruchsberechtigten versicherungstechnische Rückstellungen zu bilden. Diese sind auf vorsichtige, verlässliche und objektive Art und Weise zu berechnen.</w:t>
      </w:r>
    </w:p>
    <w:p>
      <w:r>
        <w:t xml:space="preserve">(2) Der Wert der versicherungstechnischen Rückstellungen entspricht dem aktuellen Betrag, den Versicherungsunternehmen zahlen müssten, wenn sie ihre Versicherungsverpflichtungen unverzüglich auf ein anderes Versicherungsunternehmen übertragen würden.</w:t>
      </w:r>
    </w:p>
    <w:p>
      <w:r>
        <w:t xml:space="preserve">(3) Bei der Berechnung der versicherungstechnischen Rückstellungen segmentieren die Versicherungsunternehmen ihre Versicherungsverpflichtungen in homogene Risikogruppen, die zumindest nach Geschäftsbereichen getrennt sind.</w:t>
      </w:r>
    </w:p>
    <w:p>
      <w:r>
        <w:t xml:space="preserve">(4) Die Berechnung der versicherungstechnischen Rückstellungen erfolgt unter Berücksichtigung der von den Finanzmärkten bereitgestellten Informationen sowie allgemein verfügbarer Daten über versicherungstechnische Risiken und hat mit diesen konsistent zu sein (Marktkonsistenz).</w:t>
      </w:r>
    </w:p>
    <w:p>
      <w:r>
        <w:t xml:space="preserve">(5) Bei der Berechnung der versicherungstechnischen Rückstellungen sind die in § 74 Absatz 3 genannten Grundsätze zu beachten.</w:t>
      </w:r>
    </w:p>
    <w:p>
      <w:r>
        <w:rPr>
          <w:color w:val="555555"/>
          <w:sz w:val="17"/>
        </w:rPr>
        <w:t xml:space="preserve">Zitiervorschlag: § 75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