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 VAG 2016 — Bewertung der Vermögenswerte und Verbindlichkeiten</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Versicherungsunternehmen haben nach Maßgabe der Absätze 2 und 3 sowie der §§ 75 bis 87 eine Gegenüberstellung von Aktiva und Passiva zum Zweck der Bestimmung der vorhandenen Eigenmittel zu erstellen (Solvabilitätsübersicht). Die Vorschriften dieses Gesetzes über Eigenmittel sowie die handelsrechtliche Verpflichtung zur Rechnungslegung bleiben unberührt.</w:t>
      </w:r>
    </w:p>
    <w:p>
      <w:r>
        <w:t xml:space="preserve">(2) Die Vermögenswerte werden in der Solvabilitätsübersicht mit dem Betrag bewertet, zu dem sie zwischen sachverständigen, vertragswilligen und voneinander unabhängigen Geschäftspartnern getauscht werden könnten.</w:t>
      </w:r>
    </w:p>
    <w:p>
      <w:r>
        <w:t xml:space="preserve">(3) Die Verbindlichkeiten werden mit dem Betrag bewertet, zu dem sie zwischen sachverständigen, vertragswilligen und voneinander unabhängigen Geschäftspartnern übertragen oder beglichen werden könnten. Eine Berichtigung der Bewertung, um die Bonität des Versicherungsunternehmens zu berücksichtigen, findet nicht statt.</w:t>
      </w:r>
    </w:p>
    <w:p>
      <w:r>
        <w:rPr>
          <w:color w:val="555555"/>
          <w:sz w:val="17"/>
        </w:rPr>
        <w:t xml:space="preserve">Zitiervorschlag: § 74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https://recht.nulegal.eu/gesetze/VAG%202016/74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