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VAG 2016 — Bestandsübertragung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Ein Vertrag, durch den der Versicherungsbestand einer inländischen Niederlassung im Sinne des § 68 Absatz 1 ganz oder teilweise übertragen wird auf</w:t>
      </w:r>
    </w:p>
    <w:p>
      <w:pPr>
        <w:ind w:left="420"/>
      </w:pPr>
      <w:r>
        <w:t xml:space="preserve">1. ein Versicherungsunternehmen mit Sitz in einem Mitglied- oder Vertragsstaat oder</w:t>
      </w:r>
    </w:p>
    <w:p>
      <w:pPr>
        <w:ind w:left="420"/>
      </w:pPr>
      <w:r>
        <w:t xml:space="preserve">2. die inländische Niederlassung eines Versicherungsunternehmens eines Drittstaats,</w:t>
      </w:r>
    </w:p>
    <w:p>
      <w:r>
        <w:t xml:space="preserve">bedarf der Genehmigung der Bundesanstalt. Die Genehmigung darf nur erteilt werden, wenn die übernehmende Drittstaatenniederlassung oder das übernehmende Versicherungsunternehmen mit Sitz in einem Mitglied- oder Vertragsstaat nachweist, dass es nach der Übertragung genügend anrechnungsfähige Eigenmittel zur Einhaltung der Solvabilitätskapitalanforderung besitzt. Der Nachweis erfolgt durch eine Bescheinigung</w:t>
      </w:r>
    </w:p>
    <w:p>
      <w:pPr>
        <w:ind w:left="420"/>
      </w:pPr>
      <w:r>
        <w:t xml:space="preserve">1. der zuständigen Behörde des anderen Mitglied- oder Vertragsstaats, wenn das übernehmende Unternehmen seinen Sitz in einem anderen Mitglied- oder Vertragsstaat hat, oder</w:t>
      </w:r>
    </w:p>
    <w:p>
      <w:pPr>
        <w:ind w:left="420"/>
      </w:pPr>
      <w:r>
        <w:t xml:space="preserve">2. der gewählten Aufsichtsbehörde im Sinne des § 70 Absatz 1 Satz 4, wenn die Kapitalausstattung der Drittstaatenniederlassung von dieser überwacht wird.</w:t>
      </w:r>
    </w:p>
    <w:p>
      <w:r>
        <w:t xml:space="preserve">Für Erstversicherungsunternehmen gilt § 63 Absatz 4 entsprechend.</w:t>
      </w:r>
    </w:p>
    <w:p>
      <w:r>
        <w:t xml:space="preserve">(2) Gehören Erstversicherungsverträge zu den von der Genehmigung erfassten Vermögensgegenständen, darf die Genehmigung nur erteilt werden, wenn die Aufsichtsbehörden der Staaten, in denen die Risiken des Versicherungsbestandes belegen sind, zustimmen. Es gilt als Zustimmung, wenn diese Aufsichtsbehörden sich innerhalb von drei Monaten nach Erhalt des Antrags nicht geäußert haben.</w:t>
      </w:r>
    </w:p>
    <w:p>
      <w:r>
        <w:t xml:space="preserve">(3) Die Bestandsübertragung bedarf der Schriftform; § 311b Absatz 3 des Bürgerlichen Gesetzbuchs ist nicht anzuwenden. Die Rechte und Pflichten des übertragenden Unternehmens aus den Versicherungs- oder Rückversicherungsverträgen gehen mit der Bestandsübertragung auch im Verhältnis zu den Versicherungsnehmern oder Vorversicherern auf das übernehmende Unternehmen über; § 415 des Bürgerlichen Gesetzbuchs ist nicht anzuwenden. Die Genehmigung der Bestandsübertragung ist im Bundesanzeiger zu veröffentlichen. Sobald die Bestandsübertragung wirksam geworden ist, hat die übernehmende Niederlassung die Versicherungsnehmer oder die Vorversicherer unverzüglich über die Bestandsübertragung schriftlich oder elektronisch zu informieren.</w:t>
      </w:r>
    </w:p>
    <w:p>
      <w:r>
        <w:t xml:space="preserve">(4) Wird der Versicherungsbestand einer inländischen Niederlassung auf die inländische Niederlassung eines Versicherungsunternehmens eines Drittstaats übertragen und wird die Kapitalausstattung der Niederlassung des letztgenannten Unternehmens von der Aufsichtsbehörde eines anderen Mitglied- oder Vertragsstaats überwacht, so bleiben die von einer Niederlassung für den übertragenen Bestand gestellten Sicherheiten bestehen, sofern die für das übernehmende Unternehmen zuständige Aufsichtsbehörde nichts anderes bestimmt.</w:t>
      </w:r>
    </w:p>
    <w:p>
      <w:r>
        <w:rPr>
          <w:color w:val="555555"/>
          <w:sz w:val="17"/>
        </w:rPr>
        <w:t xml:space="preserve">Zitiervorschlag: § 73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