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VAG 2016 — Widerruf der Erlaubnis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widerruft die Erlaubnis, wenn</w:t>
      </w:r>
    </w:p>
    <w:p>
      <w:pPr>
        <w:ind w:left="420"/>
      </w:pPr>
      <w:r>
        <w:t xml:space="preserve">1. das Unternehmen im Sitzland die Erlaubnis zum Geschäftsbetrieb verliert oder</w:t>
      </w:r>
    </w:p>
    <w:p>
      <w:pPr>
        <w:ind w:left="420"/>
      </w:pPr>
      <w:r>
        <w:t xml:space="preserve">2. im Fall des § 70 die gewählte Aufsichtsbehörde die Erlaubnis zum Geschäftsbetrieb widerruft, weil die nach § 70 Absatz 1 Satz 1 Nummer 1 berechneten Eigenmittel unzureichend sind.</w:t>
      </w:r>
    </w:p>
    <w:p>
      <w:r>
        <w:t xml:space="preserve">§ 304 bleibt unberührt.</w:t>
      </w:r>
    </w:p>
    <w:p>
      <w:r>
        <w:rPr>
          <w:color w:val="555555"/>
          <w:sz w:val="17"/>
        </w:rPr>
        <w:t xml:space="preserve">Zitiervorschlag: § 71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