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VAG 2016 — Antrag; Verfahren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Der Antrag nach § 67 ist bei der Bundesanstalt zu stellen. Mit dem Antrag sind einzureichen:</w:t>
      </w:r>
    </w:p>
    <w:p>
      <w:pPr>
        <w:ind w:left="420"/>
      </w:pPr>
      <w:r>
        <w:t xml:space="preserve">1. der Geschäftsplan nach § 9 Absatz 2 und 3 und die in § 9 Absatz 4 genannten Angaben und Unterlagen für die Niederlassung und die Satzung des Unternehmens; zugleich sind die Mitglieder des zur gesetzlichen Vertretung befugten Organs und eines Aufsichtsorgans zu benennen;</w:t>
      </w:r>
    </w:p>
    <w:p>
      <w:pPr>
        <w:ind w:left="420"/>
      </w:pPr>
      <w:r>
        <w:t xml:space="preserve">2. eine Bescheinigung der zuständigen Behörde des Sitzlandes darüber,</w:t>
      </w:r>
    </w:p>
    <w:p>
      <w:pPr>
        <w:ind w:left="780"/>
      </w:pPr>
      <w:r>
        <w:t xml:space="preserve">a) dass das Unternehmen an seinem Sitz unter seinem Namen Rechte erwerben und Verbindlichkeiten eingehen, vor Gericht klagen und verklagt werden kann sowie</w:t>
      </w:r>
    </w:p>
    <w:p>
      <w:pPr>
        <w:ind w:left="780"/>
      </w:pPr>
      <w:r>
        <w:t xml:space="preserve">b) welche Versicherungssparten das Unternehmen zu betreiben befugt ist und welche Arten von Risiken es tatsächlich deckt und</w:t>
      </w:r>
    </w:p>
    <w:p>
      <w:pPr>
        <w:ind w:left="420"/>
      </w:pPr>
      <w:r>
        <w:t xml:space="preserve">3. die Bilanz sowie die Gewinn-und-Verlustrechnung für jedes der drei letzten Geschäftsjahre; besteht das Unternehmen noch nicht drei Jahre, so hat es diese Unterlagen nur für die bereits abgeschlossenen Geschäftsjahre vorzulegen.</w:t>
      </w:r>
    </w:p>
    <w:p>
      <w:r>
        <w:t xml:space="preserve">(2) Die Anforderungen an die finanzielle Ausstattung richten sich nach Teil 2 Kapitel 2 Abschnitt 1 und 2. Sie bemessen sich nach dem Geschäftsumfang der Niederlassung. Die Vermögenswerte, die den Gegenwert der Solvabilitätskapitalanforderung bilden, müssen mindestens in Höhe der Mindestkapitalanforderung im Inland, im Übrigen im Gebiet der Mitglied- oder Vertragsstaaten belegen sein. Sie dürfen 50 Prozent der nach der Rechtsverordnung gemäß § 122 Absatz 2 festgelegten absoluten Untergrenze der Mindestkapitalanforderung nicht unterschreiten. Das Unternehmen hat sich ferner zu verpflichten, eine Sicherheit (feste Kaution) zu stellen. Die feste Kaution beträgt mindestens 25 Prozent der absoluten Untergrenze der Mindestkapitalanforderung. Die feste Kaution wird auf die Eigenmittel angerechnet.</w:t>
      </w:r>
    </w:p>
    <w:p>
      <w:r>
        <w:t xml:space="preserve">(3) Die Erlaubnis kann erteilt werden, wenn</w:t>
      </w:r>
    </w:p>
    <w:p>
      <w:pPr>
        <w:ind w:left="420"/>
      </w:pPr>
      <w:r>
        <w:t xml:space="preserve">1. keiner der Gründe des § 11 zum Versagen der Erlaubnis vorliegt,</w:t>
      </w:r>
    </w:p>
    <w:p>
      <w:pPr>
        <w:ind w:left="420"/>
      </w:pPr>
      <w:r>
        <w:t xml:space="preserve">2. die Voraussetzungen des § 68 Absatz 1 und 2 erfüllt sind und</w:t>
      </w:r>
    </w:p>
    <w:p>
      <w:pPr>
        <w:ind w:left="420"/>
      </w:pPr>
      <w:r>
        <w:t xml:space="preserve">3. der als feste Kaution geforderte Betrag gestellt ist.</w:t>
      </w:r>
    </w:p>
    <w:p>
      <w:r>
        <w:t xml:space="preserve">(4) Soll der Geschäftsbetrieb auf andere Versicherungssparten oder ein anderes Gebiet im Inland ausgedehnt werden, so sind die Absätze 1 bis 3 entsprechend anzuwenden.</w:t>
      </w:r>
    </w:p>
    <w:p>
      <w:r>
        <w:t xml:space="preserve">(5) Absatz 2 Satz 5 und 6, Absatz 3 Nummer 3, Absatz 4, § 70 Absatz 1 Satz 1 Nummer 2 und § 71 Satz 1 Nummer 2 finden keine Anwendung bei inländischen Niederlassungen von Rückversicherungsunternehmen mit Sitz in einem Drittstaat.</w:t>
      </w:r>
    </w:p>
    <w:p>
      <w:r>
        <w:rPr>
          <w:color w:val="555555"/>
          <w:sz w:val="17"/>
        </w:rPr>
        <w:t xml:space="preserve">Zitiervorschlag: § 69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