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67 VAG 2016 — Erlaubnis; Spartentrennung</w:t>
      </w:r>
    </w:p>
    <w:p>
      <w:r>
        <w:rPr>
          <w:color w:val="555555"/>
          <w:sz w:val="18"/>
        </w:rPr>
        <w:t xml:space="preserve">Versicherungsaufsichtsgesetz</w:t>
      </w:r>
    </w:p>
    <w:p>
      <w:r>
        <w:rPr>
          <w:color w:val="555555"/>
          <w:sz w:val="18"/>
        </w:rPr>
        <w:t xml:space="preserve">Stand: 10.01.2020 (konsolidierte Textfassung, kein amtliches Inkrafttretensdatum)</w:t>
      </w:r>
    </w:p>
    <w:p>
      <w:r>
        <w:t xml:space="preserve">(1) Versicherungsunternehmen eines Drittstaats, die im Inland das Erst- oder Rückversicherungsgeschäft betreiben wollen, bedürfen zum Geschäftsbetrieb der Erlaubnis der Aufsichtsbehörde. Satz 1 gilt nicht für Versicherungsunternehmen eines Drittstaats, die von ihrem Sitz aus im Inland ausschließlich das Rückversicherungsgeschäft betreiben, wenn</w:t>
      </w:r>
    </w:p>
    <w:p>
      <w:pPr>
        <w:ind w:left="420"/>
      </w:pPr>
      <w:r>
        <w:t xml:space="preserve">1. die Europäische Kommission gemäß Artikel 172 Absatz 2 oder 4 der Richtlinie 2009/138/EG entschieden hat, dass die Solvabilitätssysteme für Rückversicherungstätigkeiten von Unternehmen in diesem Drittstaat dem in dieser Richtlinie beschriebenen System gleichwertig sind oder</w:t>
      </w:r>
    </w:p>
    <w:p>
      <w:pPr>
        <w:ind w:left="420"/>
      </w:pPr>
      <w:r>
        <w:t xml:space="preserve">2. auf Grund eines Abkommens der Europäischen Union mit einem Drittstaat Versicherungsunternehmen aus dem jeweiligen Drittstaat ohne das Erfordernis einer Erlaubnis oder einer Niederlassung Rückversicherungsgeschäfte im Inland tätigen dürfen und die im Abkommen geregelten Voraussetzungen erfüllt sind.</w:t>
      </w:r>
    </w:p>
    <w:p>
      <w:r>
        <w:t xml:space="preserve">Im Fall des Satzes 2 Nummer 1 werden Rückversicherungsverträge mit diesen Unternehmen genauso behandelt wie Rückversicherungsverträge mit Unternehmen, die in einem Mitglied- oder Vertragsstaat zugelassen sind; im Fall des Satzes 2 Nummer 2 erfolgt die Behandlung nach Maßgabe des Abkommens.</w:t>
      </w:r>
    </w:p>
    <w:p>
      <w:r>
        <w:t xml:space="preserve">(2) Für Unternehmen nach Absatz 1 Satz 1 gelten die besonderen Vorschriften dieses Unterabschnitts sowie ergänzend entsprechend die übrigen Vorschriften dieses Gesetzes und die auf Grund der Richtlinie 2009/138/EG erlassenen delegierten Rechtsakte, technischen Regulierungsstandards und technischen Durchführungsstandards. Die Vorschriften des Teils 2 Kapitel 2 Abschnitt 3 sind auf das gemäß Absatz 1 Satz 1 abgeschlossene Versicherungsgeschäft entsprechend anzuwenden.</w:t>
      </w:r>
    </w:p>
    <w:p>
      <w:r>
        <w:t xml:space="preserve">(3) Erstversicherungsunternehmen, welche die Lebensversicherung zugleich mit anderen Versicherungssparten betreiben, darf der Geschäftsbetrieb im Inland nicht für die Lebensversicherung erlaubt werden. Erstversicherungsunternehmen, die die Krankenversicherung zugleich mit anderen Versicherungssparten betreiben, können keine Erlaubnis zum Betrieb der Krankenversicherung nach § 146 Absatz 1 im Inland erhalten.</w:t>
      </w:r>
    </w:p>
    <w:p>
      <w:r>
        <w:t xml:space="preserve">(4) Für Einrichtungen der betrieblichen Altersversorgung im Sinne des Artikels 6 Nummer 1 der Richtlinie (EU) 2016/2341, die ihren Sitz in einem Drittstaat haben, gelten die Vorschriften dieses Unterabschnitts entsprechend.</w:t>
      </w:r>
    </w:p>
    <w:p>
      <w:r>
        <w:rPr>
          <w:color w:val="555555"/>
          <w:sz w:val="17"/>
        </w:rPr>
        <w:t xml:space="preserve">Zitiervorschlag: § 67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https://recht.nulegal.eu/gesetze/VAG%202016/67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