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VAG 2016 — Dienstleistungsverkehr; Mitversicherung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Erstversicherungsunternehmen, die im Dienstleistungsverkehr ausschließlich die in der Anlage 1 Nummer 4 bis 7 und 12 genannten Versicherungssparten sowie die dort in Nummer 10 Buchstabe b genannte Risikoart betreiben, unterliegen nicht den Vorschriften dieses Gesetzes.</w:t>
      </w:r>
    </w:p>
    <w:p>
      <w:r>
        <w:t xml:space="preserve">(2) Den Vorschriften dieses Gesetzes unterliegen ferner Erstversicherungsunternehmen nicht, die sich an dem in § 210 Absatz 2 des Versicherungsvertragsgesetzes bezeichneten Versicherungsgeschäft im Wege der Mitversicherung beteiligen, wenn sie hierbei außer über den führenden Versicherer nicht über einen Sitz oder eine Niederlassung im Inland tätig sind und die Mitversicherung nicht die gesetzliche Haftpflichtversicherung im Zusammenhang mit Schäden durch Kernenergie oder Arzneimittel betrifft.</w:t>
      </w:r>
    </w:p>
    <w:p>
      <w:r>
        <w:t xml:space="preserve">(3) Missbraucht ein Erstversicherungsunternehmen die Möglichkeit nach Absatz 2, als führender Versicherer Versicherungsunternehmen aus anderen Mitglied- oder Vertragsstaaten an Mitversicherungen zu beteiligen, so kann die Aufsichtsbehörde gegenüber diesem Unternehmen die zur Beseitigung des Missbrauchs erforderlichen Anordnungen treffen. In schwerwiegenden Fällen kann die Aufsichtsbehörde ferner dem Unternehmen den Abschluss derartiger Mitversicherungen untersagen oder die in § 304 Absatz 3 bezeichneten Maßnahmen treffen. § 304 Absatz 4 bis 6 ist entsprechend anzuwenden. Als Missbrauch ist es insbesondere anzusehen, wenn ein Unternehmen die einem führenden Versicherer üblicherweise zukommenden Aufgaben nicht wahrnimmt oder an dem Vertrag Versicherungsunternehmen beteiligt, die nach Absatz 2 nicht zu einer solchen Beteiligung befugt sind.</w:t>
      </w:r>
    </w:p>
    <w:p>
      <w:r>
        <w:t xml:space="preserve">(4) Das Bundesministerium der Finanzen wird ermächtigt, durch Rechtsverordnung, die nicht der Zustimmung des Bundesrates bedarf,</w:t>
      </w:r>
    </w:p>
    <w:p>
      <w:pPr>
        <w:ind w:left="420"/>
      </w:pPr>
      <w:r>
        <w:t xml:space="preserve">1. die Absätze 1 und 2 auf Versicherungsunternehmen eines Drittstaats für anwendbar zu erklären, wenn die Belange der Versicherten ausreichend gewahrt sind und Interessen der Bundesrepublik Deutschland nicht entgegenstehen, und</w:t>
      </w:r>
    </w:p>
    <w:p>
      <w:pPr>
        <w:ind w:left="420"/>
      </w:pPr>
      <w:r>
        <w:t xml:space="preserve">2. zu bestimmen, dass die Vorschriften über ausländische Versicherungsunternehmen mit Sitz in einem anderen Mitglied- oder Vertragsstaat auch auf Unternehmen mit Sitz in einem Drittstaat anzuwenden sind, soweit dies auf Grund von Abkommen der Europäischen Union erforderlich ist.</w:t>
      </w:r>
    </w:p>
    <w:p>
      <w:r>
        <w:t xml:space="preserve">(5) Unter den Voraussetzungen des Absatzes 4 Nummer 1 kann die Bundesanstalt entsprechende Freistellungen auch im Einzelfall durch Verwaltungsakt gewähren.</w:t>
      </w:r>
    </w:p>
    <w:p>
      <w:r>
        <w:rPr>
          <w:color w:val="555555"/>
          <w:sz w:val="17"/>
        </w:rPr>
        <w:t xml:space="preserve">Zitiervorschlag: § 66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