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VAG 2016 — Bestandsübertragungen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Ein Vertrag, durch den ein Erstversicherungsunternehmen mit Sitz in einem anderen Mitglied- oder Vertragsstaat ganz oder teilweise einen Bestand an Versicherungsverträgen, die es gemäß § 61 Absatz 1 durch eine Niederlassung oder im Dienstleistungsverkehr abgeschlossen hat, auf ein Unternehmen mit Sitz in einem Mitglied- oder Vertragsstaat übertragen will, bedarf zur Genehmigung durch die für das übertragende Unternehmen zuständige Aufsichtsbehörde des Herkunftsstaats der Zustimmung der Bundesanstalt. Die Zustimmung ist zu erteilen, wenn die Belange der Versicherten gewahrt sind und die Verpflichtungen aus den Versicherungen als dauernd erfüllbar dargetan sind; § 13 Absatz 4, 5 und 7 Satz 1 ist entsprechend anzuwenden.</w:t>
      </w:r>
    </w:p>
    <w:p>
      <w:r>
        <w:t xml:space="preserve">(2) Betrifft der Versicherungsbestand einer Niederlassung keine im Inland belegenen Risiken, nimmt die Bundesanstalt zum Vertrag lediglich Stellung.</w:t>
      </w:r>
    </w:p>
    <w:p>
      <w:r>
        <w:t xml:space="preserve">(3) Äußert sich die Bundesanstalt nicht innerhalb von drei Monaten zu dem Ersuchen um Zustimmung oder Stellungnahme, gilt dies als stillschweigende Zustimmung oder positive Stellungnahme.</w:t>
      </w:r>
    </w:p>
    <w:p>
      <w:r>
        <w:t xml:space="preserve">(4) Fordert die gemäß Absatz 1 Satz 1 für die Genehmigung zuständige Aufsichtsbehörde von der Bundesanstalt die in § 13 Absatz 2 Satz 2 Nummer 1 genannte Bescheinigung an, sind § 58 Absatz 2 Satz 4 und § 59 Absatz 2 Satz 5 entsprechend anzuwenden.</w:t>
      </w:r>
    </w:p>
    <w:p>
      <w:r>
        <w:rPr>
          <w:color w:val="555555"/>
          <w:sz w:val="17"/>
        </w:rPr>
        <w:t xml:space="preserve">Zitiervorschlag: § 63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