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60 VAG 2016 — Statistische Angaben über grenzüberschreitende Tätigkeiten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Jedes Erstversicherungsunternehmen muss der Aufsichtsbehörde für im Rahmen der Niederlassungsfreiheit getätigte Geschäfte und getrennt davon für im Rahmen der Dienstleistungsfreiheit getätigte Geschäfte</w:t>
      </w:r>
    </w:p>
    <w:p>
      <w:pPr>
        <w:ind w:left="420"/>
      </w:pPr>
      <w:r>
        <w:t xml:space="preserve">1. die gebuchten Prämienbeträge,</w:t>
      </w:r>
    </w:p>
    <w:p>
      <w:pPr>
        <w:ind w:left="420"/>
      </w:pPr>
      <w:r>
        <w:t xml:space="preserve">2. die Höhe der Erstattungsleistungen und</w:t>
      </w:r>
    </w:p>
    <w:p>
      <w:pPr>
        <w:ind w:left="420"/>
      </w:pPr>
      <w:r>
        <w:t xml:space="preserve">3. die Höhe der Provisionen</w:t>
      </w:r>
    </w:p>
    <w:p>
      <w:r>
        <w:t xml:space="preserve">ohne Abzug der Rückversicherung sowie nach Mitgliedstaaten aufgeschlüsselt mitteilen. In Bezug auf die in der Anlage 1 Nummer 10 genannte Sparte – ausgenommen der Haftung des Frachtführers – teilt das Unternehmen der Aufsichtsbehörde zudem die Häufigkeit und die durchschnittlichen Kosten der Erstattungsleistungen mit.</w:t>
      </w:r>
    </w:p>
    <w:p>
      <w:r>
        <w:t xml:space="preserve">(2) Die Aufsichtsbehörde teilt den Aufsichtsbehörden jedes betroffenen Mitgliedstaats auf Antrag innerhalb einer angemessenen Frist die in Absatz 1 genannten Angaben zusammengefasst mit.</w:t>
      </w:r>
    </w:p>
    <w:p>
      <w:r>
        <w:rPr>
          <w:color w:val="555555"/>
          <w:sz w:val="17"/>
        </w:rPr>
        <w:t xml:space="preserve">Zitiervorschlag: § 60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