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VAG 2016 — Aufnahme des Dienstleistungsverkehrs</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Erstversicherungsunternehmen haben der Aufsichtsbehörde die beabsichtigte Aufnahme des Dienstleistungsverkehrs unter Angabe des betreffenden Mitglied- oder Vertragsstaats anzuzeigen. Zugleich ist anzugeben, welche Versicherungssparten dort betrieben und welche Risiken einer Versicherungssparte gedeckt werden sollen; sofern die Krankenversicherung im Sinne des Artikels 206 Absatz 2 der Richtlinie 2009/138/EG betrieben werden soll, sind zusätzlich die dem § 9 Absatz 4 Nummer 5 entsprechenden Angaben zu machen. Bei Deckung der in der Anlage 1 Nummer 10 Buchstabe a genannten Risiken hat die Anzeige außerdem Folgendes zu enthalten:</w:t>
      </w:r>
    </w:p>
    <w:p>
      <w:pPr>
        <w:ind w:left="420"/>
      </w:pPr>
      <w:r>
        <w:t xml:space="preserve">1. eine Erklärung, wonach das Unternehmen in dem anderen Mitglied- oder Vertragsstaat Mitglied des nationalen Garantiefonds zur Entschädigung der Opfer von Unfällen, die von nicht versicherten oder nicht ermittelten Fahrzeugen verursacht werden, und des nationalen Versicherungsbüros geworden ist, und</w:t>
      </w:r>
    </w:p>
    <w:p>
      <w:pPr>
        <w:ind w:left="420"/>
      </w:pPr>
      <w:r>
        <w:t xml:space="preserve">2. den Namen und die Geschäftsanschrift eines in dem anderen Mitglied- oder Vertragsstaat ansässigen oder niedergelassenen Vertreters (Vertreter für die Schadenregulierung), für den § 24 Absatz 1 entsprechend gilt, der</w:t>
      </w:r>
    </w:p>
    <w:p>
      <w:pPr>
        <w:ind w:left="780"/>
      </w:pPr>
      <w:r>
        <w:t xml:space="preserve">a) alle erforderlichen Informationen über Schadenfälle sammelt und die dafür notwendige Geschäftsausstattung besitzt,</w:t>
      </w:r>
    </w:p>
    <w:p>
      <w:pPr>
        <w:ind w:left="780"/>
      </w:pPr>
      <w:r>
        <w:t xml:space="preserve">b) über ausreichende Befugnisse verfügt, um das Unternehmen gegenüber Personen, die Schadenersatzansprüche geltend machen, gerichtlich oder außergerichtlich, insbesondere vor Verwaltungsbehörden, zu vertreten sowie diesbezüglich Vollmachten zu erteilen,</w:t>
      </w:r>
    </w:p>
    <w:p>
      <w:pPr>
        <w:ind w:left="780"/>
      </w:pPr>
      <w:r>
        <w:t xml:space="preserve">c) bis zur endgültigen Befriedigung der Schadenersatzansprüche über ausreichende Befugnisse verfügt, um die diesen Ansprüchen entsprechenden Beträge auszuzahlen, und</w:t>
      </w:r>
    </w:p>
    <w:p>
      <w:pPr>
        <w:ind w:left="780"/>
      </w:pPr>
      <w:r>
        <w:t xml:space="preserve">d) die Befugnis besitzt, das Unternehmen gegenüber den Behörden des anderen Mitglied-oder Vertragsstaats hinsichtlich des Bestehens und der Gültigkeit der Versicherungsverträge zu vertreten.</w:t>
      </w:r>
    </w:p>
    <w:p>
      <w:r>
        <w:t xml:space="preserve">(2) Die Aufsichtsbehörde prüft innerhalb einer Frist von einem Monat nach Eingang der in Absatz 1 Satz 2 und 3 bezeichneten Unterlagen die rechtliche Zulässigkeit des Vorhabens. Bei Unbedenklichkeit übersendet sie vor Ablauf der Frist der Aufsichtsbehörde des anderen Mitglied- oder Vertragsstaats</w:t>
      </w:r>
    </w:p>
    <w:p>
      <w:pPr>
        <w:ind w:left="420"/>
      </w:pPr>
      <w:r>
        <w:t xml:space="preserve">1. diese Unterlagen,</w:t>
      </w:r>
    </w:p>
    <w:p>
      <w:pPr>
        <w:ind w:left="420"/>
      </w:pPr>
      <w:r>
        <w:t xml:space="preserve">2. eine Bescheinigung darüber, welche Versicherungssparten das Unternehmen betreiben und welche Risiken einer Versicherungssparte es decken darf, und</w:t>
      </w:r>
    </w:p>
    <w:p>
      <w:pPr>
        <w:ind w:left="420"/>
      </w:pPr>
      <w:r>
        <w:t xml:space="preserve">3. eine Bescheinigung darüber, dass das Unternehmen über anrechnungsfähige Eigenmittel zur Einhaltung der Solvabilitätskapitalanforderung oder des für die betriebenen Versicherungssparten erforderlichen Mindestbetrags der Mindestkapitalanforderung verfügt, falls dieser Mindestbetrag höher ist,</w:t>
      </w:r>
    </w:p>
    <w:p>
      <w:r>
        <w:t xml:space="preserve">und benachrichtigt hierüber das Unternehmen. Anderenfalls teilt sie dem Unternehmen vor Ablauf der Frist mit, dass und aus welchen Gründen die Zustimmung zur Aufnahme des Erstversicherungsgeschäfts im Dienstleistungsverkehr versagt wird. Es gilt als Versagung, wenn sich die Aufsichtsbehörde bis zum Ablauf der Frist nicht geäußert hat. Hat sich die finanzielle Lage des Unternehmens verschlechtert im Sinne des § 132 Absatz 2, steht dies der Ausstellung einer Bescheinigung nach Satz 2 Nummer 3 entgegen, solange die Rechte der Versicherungsnehmer gefährdet sind.</w:t>
      </w:r>
    </w:p>
    <w:p>
      <w:r>
        <w:t xml:space="preserve">(3) Im Fall des Absatzes 2 Satz 2 kann das Unternehmen seine Tätigkeit ab dem Zugang der genannten Benachrichtigung aufnehmen.</w:t>
      </w:r>
    </w:p>
    <w:p>
      <w:r>
        <w:t xml:space="preserve">(4) Die Absätze 1 bis 3 gelten auch, wenn das Unternehmen weitere Versicherungssparten betreiben oder Risiken decken oder einen anderen Vertreter für die Schadenregulierung ernennen will.</w:t>
      </w:r>
    </w:p>
    <w:p>
      <w:r>
        <w:rPr>
          <w:color w:val="555555"/>
          <w:sz w:val="17"/>
        </w:rPr>
        <w:t xml:space="preserve">Zitiervorschlag: § 59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