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VAG 2016 — Errichtung einer Niederlassung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Erstversicherungsunternehmen haben der Aufsichtsbehörde die beabsichtigte Errichtung einer Niederlassung unter Angabe des betreffenden Mitglied- oder Vertragsstaats anzuzeigen. Die Anzeige muss enthalten:</w:t>
      </w:r>
    </w:p>
    <w:p>
      <w:pPr>
        <w:ind w:left="420"/>
      </w:pPr>
      <w:r>
        <w:t xml:space="preserve">1. die Angaben und Schätzungen gemäß § 9 Absatz 2 Nummer 1 und 2 und Absatz 3 Nummer 5 und 6; sofern die Krankenversicherung im Sinne des Artikels 206 Absatz 2 der Richtlinie 2009/138/EG betrieben werden soll, zusätzlich die dem § 9 Absatz 4 Nummer 5 Buchstabe a entsprechenden Angaben,</w:t>
      </w:r>
    </w:p>
    <w:p>
      <w:pPr>
        <w:ind w:left="420"/>
      </w:pPr>
      <w:r>
        <w:t xml:space="preserve">2. Angaben über die Organisationsstruktur,</w:t>
      </w:r>
    </w:p>
    <w:p>
      <w:pPr>
        <w:ind w:left="420"/>
      </w:pPr>
      <w:r>
        <w:t xml:space="preserve">3. den Namen des vorgesehenen Hauptbevollmächtigten, der mit ausreichender Vollmacht versehen ist, um das Unternehmen Dritten gegenüber zu verpflichten und es bei Verwaltungsbehörden und vor den Gerichten des anderen Mitglied- oder Vertragsstaats zu vertreten,</w:t>
      </w:r>
    </w:p>
    <w:p>
      <w:pPr>
        <w:ind w:left="420"/>
      </w:pPr>
      <w:r>
        <w:t xml:space="preserve">4. die voraussichtliche Anschrift, welche zugleich die Geschäftsanschrift des Hauptbevollmächtigten sein muss, und</w:t>
      </w:r>
    </w:p>
    <w:p>
      <w:pPr>
        <w:ind w:left="420"/>
      </w:pPr>
      <w:r>
        <w:t xml:space="preserve">5. bei Deckung der in der Anlage 1 Nummer 10 Buchstabe a genannten Risiken über die Niederlassung eine Erklärung, wonach das Unternehmen in dem anderen Mitglied- oder Vertragsstaat Mitglied des nationalen Garantiefonds zur Entschädigung der Opfer von Unfällen, die von nicht versicherten oder nicht ermittelten Fahrzeugen verursacht werden, und des nationalen Versicherungsbüros geworden ist.</w:t>
      </w:r>
    </w:p>
    <w:p>
      <w:r>
        <w:t xml:space="preserve">(2) Die Aufsichtsbehörde prüft hinsichtlich des Vorhabens innerhalb einer Frist von drei Monaten nach Eingang der in Absatz 1 Satz 2 bezeichneten Unterlagen neben der rechtlichen Zulässigkeit die Angemessenheit der Geschäftsorganisation und die Finanzlage des Unternehmens sowie die Erfüllung der in § 24 Absatz 1 genannten Voraussetzungen durch den Hauptbevollmächtigten und die für die Niederlassung zuständigen Geschäftsleiter. Bei Unbedenklichkeit übersendet sie vor Ablauf der Frist der Aufsichtsbehörde des anderen Mitglied- oder Vertragsstaats</w:t>
      </w:r>
    </w:p>
    <w:p>
      <w:pPr>
        <w:ind w:left="420"/>
      </w:pPr>
      <w:r>
        <w:t xml:space="preserve">1. diese Unterlagen und</w:t>
      </w:r>
    </w:p>
    <w:p>
      <w:pPr>
        <w:ind w:left="420"/>
      </w:pPr>
      <w:r>
        <w:t xml:space="preserve">2. eine Bescheinigung darüber, dass das Unternehmen über anrechnungsfähige Eigenmittel zur Einhaltung der Solvabilitätskapitalanforderung oder des für die betriebenen Versicherungssparten erforderlichen Mindestbetrags der Mindestkapitalanforderung verfügt, falls dieser Mindestbetrag höher ist,</w:t>
      </w:r>
    </w:p>
    <w:p>
      <w:r>
        <w:t xml:space="preserve">und benachrichtigt hierüber das Unternehmen. Anderenfalls teilt sie dem Unternehmen vor Ablauf der Frist mit, dass und aus welchen Gründen die Zustimmung zur Errichtung der Niederlassung versagt wird. Hat sich die finanzielle Lage des Unternehmens verschlechtert im Sinne des § 132 Absatz 2, steht dies der Ausstellung einer Bescheinigung nach Satz 2 Nummer 2 entgegen, solange die Rechte der Versicherungsnehmer gefährdet sind.</w:t>
      </w:r>
    </w:p>
    <w:p>
      <w:r>
        <w:t xml:space="preserve">(3) Im Fall des Absatzes 2 Satz 2 kann die Niederlassung errichtet werden und ihre Tätigkeit aufnehmen, wenn seit Zugang der Benachrichtigung beim Unternehmen zwei Monate vergangen sind, es sei denn, dass die Aufsichtsbehörde des anderen Mitglied- oder Vertragsstaats dem Unternehmen einen früheren Zeitpunkt mitteilt.</w:t>
      </w:r>
    </w:p>
    <w:p>
      <w:r>
        <w:t xml:space="preserve">(4) Änderungen der nach Absatz 1 Satz 2 Nummer 1 bis 4 gemachten Angaben hat das Versicherungsunternehmen der Aufsichtsbehörde spätestens einen Monat vor der beabsichtigten Durchführung der Änderung anzuzeigen. Im Übrigen gilt Absatz 2 entsprechend.</w:t>
      </w:r>
    </w:p>
    <w:p>
      <w:r>
        <w:rPr>
          <w:color w:val="555555"/>
          <w:sz w:val="17"/>
        </w:rPr>
        <w:t xml:space="preserve">Zitiervorschlag: § 58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