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VAG 2016 — Versicherungsgeschäfte über Niederlassungen oder im Dienstleistungsverkehr</w:t>
      </w:r>
    </w:p>
    <w:p>
      <w:r>
        <w:rPr>
          <w:color w:val="555555"/>
          <w:sz w:val="18"/>
        </w:rPr>
        <w:t xml:space="preserve">Versicherungsaufsichtsgesetz</w:t>
      </w:r>
    </w:p>
    <w:p>
      <w:r>
        <w:rPr>
          <w:color w:val="555555"/>
          <w:sz w:val="18"/>
        </w:rPr>
        <w:t xml:space="preserve">Stand: 17.04.2024 (konsolidierte Textfassung, kein amtliches Inkrafttretensdatum)</w:t>
      </w:r>
    </w:p>
    <w:p>
      <w:r>
        <w:t xml:space="preserve">(1) Erstversicherungsunternehmen dürfen nach Maßgabe der §§ 58 und 59 das Versicherungsgeschäft in den anderen Mitglied- oder Vertragsstaaten über Niederlassungen oder im Dienstleistungsverkehr betreiben.</w:t>
      </w:r>
    </w:p>
    <w:p>
      <w:r>
        <w:t xml:space="preserve">(2) Als Niederlassung gilt eine Agentur oder Zweigniederlassung eines Erstversicherungsunternehmens im Hoheitsgebiet eines anderen Mitglied- oder Vertragsstaats. Um eine Niederlassung handelt es sich auch, wenn das Versicherungsgeschäft durch eine zwar selbständige, aber ständig damit betraute Person betrieben wird, die von einer Betriebsstätte in dem anderen Mitglied- oder Vertragsstaat aus tätig wird.</w:t>
      </w:r>
    </w:p>
    <w:p>
      <w:r>
        <w:t xml:space="preserve">(3) Dienstleistungsverkehr im Sinne dieses Gesetzes liegt vor, wenn das Erstversicherungsunternehmen mit Sitz in einem Mitglied- oder Vertragsstaat von seinem Sitz oder einer Niederlassung in einem Mitglied- oder Vertragsstaat aus Risiken deckt, die in einem anderen Mitglied- oder Vertragsstaat belegen sind, ohne dass das Unternehmen dort von einer Niederlassung Gebrauch macht. Mitglied- oder Vertragsstaat, in dem das Risiko belegen ist, ist</w:t>
      </w:r>
    </w:p>
    <w:p>
      <w:pPr>
        <w:ind w:left="420"/>
      </w:pPr>
      <w:r>
        <w:t xml:space="preserve">1. bei der Versicherung von Risiken mit Bezug auf unbewegliche Sachen, insbesondere Bauwerke und Anlagen, und den darin befindlichen, durch den gleichen Vertrag gedeckten Sachen der Mitglied- oder Vertragsstaat, in dem diese Gegenstände belegen sind,</w:t>
      </w:r>
    </w:p>
    <w:p>
      <w:pPr>
        <w:ind w:left="420"/>
      </w:pPr>
      <w:r>
        <w:t xml:space="preserve">2. bei der Versicherung von Risiken mit Bezug auf Fahrzeuge aller Art, die in einem Mitglied- oder Vertragsstaat in ein amtliches oder amtlich anerkanntes Register einzutragen sind und ein Unterscheidungskennzeichen erhalten, dieser Mitglied- oder Vertragsstaat,</w:t>
      </w:r>
    </w:p>
    <w:p>
      <w:pPr>
        <w:ind w:left="420"/>
      </w:pPr>
      <w:r>
        <w:t xml:space="preserve">3. bei der Versicherung von Reise- und Ferienrisiken in Versicherungsverträgen über eine Laufzeit von höchstens vier Monaten der Mitglied- oder Vertragsstaat, in dem der Versicherungsnehmer die zum Abschluss des Vertrags erforderlichen Rechtshandlungen vorgenommen hat, und</w:t>
      </w:r>
    </w:p>
    <w:p>
      <w:pPr>
        <w:ind w:left="420"/>
      </w:pPr>
      <w:r>
        <w:t xml:space="preserve">4. in allen anderen Fällen,</w:t>
      </w:r>
    </w:p>
    <w:p>
      <w:pPr>
        <w:ind w:left="780"/>
      </w:pPr>
      <w:r>
        <w:t xml:space="preserve">a) wenn der Versicherungsnehmer eine natürliche Person ist, der Mitglied- oder Vertragsstaat, in dem er seinen gewöhnlichen Aufenthalt hat, und</w:t>
      </w:r>
    </w:p>
    <w:p>
      <w:pPr>
        <w:ind w:left="780"/>
      </w:pPr>
      <w:r>
        <w:t xml:space="preserve">b) wenn der Versicherungsnehmer keine natürliche Person ist, der Mitglied- oder Vertragsstaat, in dem sich das Unternehmen, die Betriebsstätte oder die entsprechende Einrichtung befindet, auf die sich der Vertrag bezieht.</w:t>
      </w:r>
    </w:p>
    <w:p>
      <w:r>
        <w:t xml:space="preserve">(4) Abweichend von Absatz 3 Satz 2 Nummer 2 ist bei einem Fahrzeug, das von einem Mitglied- oder Vertragsstaat in einen anderen überführt wird, entsprechend der Wahl der für die Haftpflichtversicherung verantwortlichen Person folgender Staat als der Mitglied- oder Vertragsstaat anzusehen, in dem das Risiko belegen ist:</w:t>
      </w:r>
    </w:p>
    <w:p>
      <w:pPr>
        <w:ind w:left="420"/>
      </w:pPr>
      <w:r>
        <w:t xml:space="preserve">1. der Zulassungsstaat oder</w:t>
      </w:r>
    </w:p>
    <w:p>
      <w:pPr>
        <w:ind w:left="420"/>
      </w:pPr>
      <w:r>
        <w:t xml:space="preserve">2. unmittelbar nach der Abnahme des Fahrzeugs durch den Käufer während eines Zeitraums von 30 Tagen der Bestimmungsmitglied- oder Bestimmungsvertragsstaat.</w:t>
      </w:r>
    </w:p>
    <w:p>
      <w:r>
        <w:t xml:space="preserve">Satz 1 Nummer 2 gilt auch dann, wenn das Fahrzeug im Bestimmungsmitglied- oder Bestimmungsvertragsstaat nicht offiziell zugelassen wurde.</w:t>
      </w:r>
    </w:p>
    <w:p>
      <w:r>
        <w:rPr>
          <w:color w:val="555555"/>
          <w:sz w:val="17"/>
        </w:rPr>
        <w:t xml:space="preserve">Zitiervorschlag: § 57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