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VAG 2016 — Interne Sicherungsmaßnahmen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verpflichteten Unternehmen dürfen im Einzelfall einander Informationen übermitteln, wenn tatsächliche Anhaltspunkte dafür vorliegen, dass der Empfänger der Informationen diese für die Beurteilung der Frage benötigt, ob ein Sachverhalt nach § 43 Absatz 1 des Geldwäschegesetzes der Zentralstelle für Finanztransaktionsuntersuchungen zu melden oder eine Strafanzeige nach § 158 der Strafprozessordnung zu erstatten ist. Der Empfänger darf die Informationen ausschließlich verwenden, um Geldwäsche, Terrorismusfinanzierung oder sonstige strafbare Handlungen zu verhindern oder nach § 158 der Strafprozessordnung anzuzeigen. Er darf die Informationen nur unter den durch das übermittelnde Versicherungsunternehmen vorgegebenen Bedingungen verwenden.</w:t>
      </w:r>
    </w:p>
    <w:p>
      <w:r>
        <w:t xml:space="preserve">(2) Sofern die verpflichteten Unternehmen eine interne Revision vorhalten, haben sie sicherzustellen, dass ein Bericht über das Ergebnis einer Prüfung der internen Revision nach § 6 Absatz 2 Nummer 7 des Geldwäschegesetzes jeweils zeitnah der Geschäftsleitung, dem Geldwäschebeauftragten sowie auf Anforderung der Aufsichtsbehörde vorgelegt wird.</w:t>
      </w:r>
    </w:p>
    <w:p>
      <w:r>
        <w:rPr>
          <w:color w:val="555555"/>
          <w:sz w:val="17"/>
        </w:rPr>
        <w:t xml:space="preserve">Zitiervorschlag: § 53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https://recht.nulegal.eu/gesetze/VAG%202016/53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