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VAG 2016 — Anforderungen an den Versicherungsvertrieb</w:t>
      </w:r>
    </w:p>
    <w:p>
      <w:r>
        <w:rPr>
          <w:color w:val="555555"/>
          <w:sz w:val="18"/>
        </w:rPr>
        <w:t xml:space="preserve">Versicherungsaufsichtsgesetz</w:t>
      </w:r>
    </w:p>
    <w:p>
      <w:r>
        <w:rPr>
          <w:color w:val="555555"/>
          <w:sz w:val="18"/>
        </w:rPr>
        <w:t xml:space="preserve">Stand: 04.01.2025 (konsolidierte Textfassung, kein amtliches Inkrafttretensdatum)</w:t>
      </w:r>
    </w:p>
    <w:p>
      <w:r>
        <w:t xml:space="preserve">(1) Versicherungsunternehmen sind verpflichtet, nur mit solchen gewerbsmäßig tätigen Versicherungsvermittlern zusammenzuarbeiten, die</w:t>
      </w:r>
    </w:p>
    <w:p>
      <w:pPr>
        <w:ind w:left="420"/>
      </w:pPr>
      <w:r>
        <w:t xml:space="preserve">1. im Besitz einer Erlaubnis nach § 34d Absatz 1 der Gewerbeordnung sind, nach § 34d Absatz 6 der Gewerbeordnung von der Erlaubnispflicht befreit sind oder nach § 34d Absatz 7 Satz 1 Nummer 1 oder Absatz 8 der Gewerbeordnung nicht der Erlaubnispflicht unterliegen und</w:t>
      </w:r>
    </w:p>
    <w:p>
      <w:pPr>
        <w:ind w:left="420"/>
      </w:pPr>
      <w:r>
        <w:t xml:space="preserve">2. bevollmächtigt sind, Vermögenswerte des Versicherungsnehmers oder für diesen bestimmte Vermögenswerte entgegenzunehmen oder, soweit nach einer Rechtsverordnung nach § 34e Absatz 1 Satz 1 Nummer 2 Buchstabe b der Gewerbeordnung erforderlich, eine Sicherheitsleistung nachweisen.</w:t>
      </w:r>
    </w:p>
    <w:p>
      <w:r>
        <w:t xml:space="preserve">(2) Die Versicherungsunternehmen müssen sicherstellen, dass ihre unmittelbar oder maßgeblich am Versicherungsvertrieb beteiligten Angestellten zuverlässig sind, in geordneten Vermögensverhältnissen leben und über die zur Vermittlung der jeweiligen Versicherung angemessene Qualifikation verfügen und sich regelmäßig fortbilden. Mit gewerbsmäßig tätigen Versicherungsvermittlern, die</w:t>
      </w:r>
    </w:p>
    <w:p>
      <w:pPr>
        <w:ind w:left="420"/>
      </w:pPr>
      <w:r>
        <w:t xml:space="preserve">1. nach § 34d Absatz 7 Satz 1 Nummer 1 der Gewerbeordnung nicht der Erlaubnispflicht unterliegen oder</w:t>
      </w:r>
    </w:p>
    <w:p>
      <w:pPr>
        <w:ind w:left="420"/>
      </w:pPr>
      <w:r>
        <w:t xml:space="preserve">2. nach § 34d Absatz 6 der Gewerbeordnung von der Erlaubnispflicht befreit sind und die Tätigkeit als Versicherungsvermittler im Auftrag eines Versicherungsunternehmens oder mehrerer Versicherungsunternehmen ausüben,</w:t>
      </w:r>
    </w:p>
    <w:p>
      <w:r>
        <w:t xml:space="preserve">dürfen die Versicherungsunternehmen nur zusammenarbeiten, wenn diese Versicherungsvermittler die in Satz 1 genannten Voraussetzungen sowie die für sie geltenden Anforderungen der Verordnung (EU) 2022/2554 erfüllen. Die Angemessenheit der Qualifikation richtet sich nach den Anforderungen im Zusammenhang mit den von ihnen vertriebenen Produkten. Die Sätze 1 bis 3 gelten nicht für Personen im Sinne von § 24, soweit diese die dort genannten Anforderungen an die Zuverlässigkeit und fachliche Eignung erfüllen. Inhalt, Umfang sowie Dokumentation von nachzuweisenden Qualifikationsmaßnahmen haben Abschnitt 1 der Versicherungsvermittlungsverordnung zu entsprechen.</w:t>
      </w:r>
    </w:p>
    <w:p>
      <w:r>
        <w:t xml:space="preserve">(2a) Versicherungsunternehmen stellen durch geeignete Maßnahmen der Geschäftsorganisation sicher, dass die Anforderungen nach den Absätzen 1 und 2 durch ihre Angestellten und Vermittler nach Absatz 1 Nummer 1 und 2 und deren am Versicherungsvertrieb unmittelbar oder maßgeblich beteiligten Angestellten erfüllt, überwacht und dokumentiert werden, soweit die Erfüllung dieser Anforderungen nicht bereits durch Erlaubnisverfahren nach der Gewerbeordnung gewährleistet wird. Zu diesem Zweck erlassen sie entsprechende interne Leitlinien, schaffen angemessene interne Verfahren und richten hierfür eine Funktion ein, die die ordnungsgemäße Umsetzung sicherstellt.</w:t>
      </w:r>
    </w:p>
    <w:p>
      <w:r>
        <w:t xml:space="preserve">(3) Mit gewerbsmäßig tätigen Versicherungsvermittlern aus anderen Mitglied- oder Vertragsstaaten dürfen Versicherungsunternehmen nur zusammenarbeiten, soweit die Vermittler nach den Vorschriften ihres Herkunftsstaats befugt sind, Versicherungsverträge zu vermitteln.</w:t>
      </w:r>
    </w:p>
    <w:p>
      <w:r>
        <w:t xml:space="preserve">(4) Auf Veranlassung eines Versicherungsvermittlers nach § 34d Absatz 7 Satz 1 Nummer 1 der Gewerbeordnung haben das oder die Versicherungsunternehmen, für das oder die der Versicherungsvermittler ausschließlich tätig wird, der Registerbehörde die im Register nach § 11a Absatz 1 der Gewerbeordnung zu speichernden Angaben mitzuteilen. Das oder die Versicherungsunternehmen hat beziehungsweise haben sicherzustellen, dass die Voraussetzungen nach § 34d Absatz 7 Satz 1 Nummer 1 der Gewerbeordnung vorliegen.</w:t>
      </w:r>
    </w:p>
    <w:p>
      <w:r>
        <w:t xml:space="preserve">(5) Versicherungsunternehmen sind verpflichtet, der Registerbehörde nach § 11a Absatz 1 der Gewerbeordnung unverzüglich die Beendigung der Zusammenarbeit mit einem nach § 34d Absatz 7 Satz 1 Nummer 1 der Gewerbeordnung nicht der Erlaubnispflicht unterliegenden Versicherungsvermittler mitzuteilen und dessen Löschung aus dem Register zu veranlassen.</w:t>
      </w:r>
    </w:p>
    <w:p>
      <w:r>
        <w:t xml:space="preserve">(6) Die §§ 48a bis 50a gelten nicht für den Rückversicherungsvertrieb. Für den Rückversicherungsvertrieb im Zusammenhang mit Risiken, die nicht in einem Mitglied- oder Vertragsstaat belegen sind, gelten die §§ 48 und 51 nicht.</w:t>
      </w:r>
    </w:p>
    <w:p>
      <w:r>
        <w:rPr>
          <w:color w:val="555555"/>
          <w:sz w:val="17"/>
        </w:rPr>
        <w:t xml:space="preserve">Zitiervorschlag: § 48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