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VAG 2016 — Anzeigepflichten</w:t>
      </w:r>
    </w:p>
    <w:p>
      <w:r>
        <w:rPr>
          <w:color w:val="555555"/>
          <w:sz w:val="18"/>
        </w:rPr>
        <w:t xml:space="preserve">Versicherungsaufsichtsgesetz</w:t>
      </w:r>
    </w:p>
    <w:p>
      <w:r>
        <w:rPr>
          <w:color w:val="555555"/>
          <w:sz w:val="18"/>
        </w:rPr>
        <w:t xml:space="preserve">Stand: 10.04.2026 (konsolidierte Textfassung, kein amtliches Inkrafttretensdatum)</w:t>
      </w:r>
    </w:p>
    <w:p>
      <w:r>
        <w:t xml:space="preserve">Versicherungsunternehmen haben der Aufsichtsbehörde unverzüglich Folgendes anzuzeigen:</w:t>
      </w:r>
    </w:p>
    <w:p>
      <w:pPr>
        <w:ind w:left="420"/>
      </w:pPr>
      <w:r>
        <w:t xml:space="preserve">1. die Bestellung eines Aufsichtsratsmitglieds sowie die vorgesehene Bestellung eines Geschäftsleiters und der weiteren Personen, die für Schlüsselaufgaben verantwortlich sind, unter Angabe der Tatsachen, die für die Beurteilung ihrer Qualifikation (§ 24 Absatz 1) wesentlich sind,</w:t>
      </w:r>
    </w:p>
    <w:p>
      <w:pPr>
        <w:ind w:left="420"/>
      </w:pPr>
      <w:r>
        <w:t xml:space="preserve">2. das Ausscheiden oder den Entzug der Befugnis zur Vertretung des Versicherungsunternehmens einer der in Nummer 1 genannten Personen, jeweils unter Angabe der Gründe, sofern diese für die Beurteilung ihrer Qualifikation (§ 24 Absatz 1) bedeutsam sind,</w:t>
      </w:r>
    </w:p>
    <w:p>
      <w:pPr>
        <w:ind w:left="420"/>
      </w:pPr>
      <w:r>
        <w:t xml:space="preserve">3. Satzungsänderungen, die eine Kapitalerhöhung zum Gegenstand haben,</w:t>
      </w:r>
    </w:p>
    <w:p>
      <w:pPr>
        <w:ind w:left="420"/>
      </w:pPr>
      <w:r>
        <w:t xml:space="preserve">4. wenn es sich um ein Rückversicherungsunternehmen handelt, jede Änderung der in § 9 Absatz 2 Nummer 1 und 2 genannten Teile des Geschäftsplans, jede Änderung des tatsächlichen Geschäftsgebietes, jede Änderung von Unternehmensverträgen der in den §§ 291 und 292 des Aktiengesetzes bezeichneten Art sowie die Absicht der Umwandlung nach § 1, § 305, § 320 oder § 333 des Umwandlungsgesetzes, soweit sie nicht der Genehmigungspflicht nach § 166 Absatz 3 unterliegen,</w:t>
      </w:r>
    </w:p>
    <w:p>
      <w:pPr>
        <w:ind w:left="420"/>
      </w:pPr>
      <w:r>
        <w:t xml:space="preserve">5. den Erwerb oder die Aufgabe einer bedeutenden Beteiligung an dem eigenen Versicherungsunternehmen, das Erreichen sowie das Über- oder das Unterschreiten der Beteiligungsschwellen von 20 Prozent, 30 Prozent und 50 Prozent der Stimmrechte oder des Kapitals sowie die Tatsache, dass das Unternehmen Tochterunternehmen eines anderen Unternehmens wird, sobald das Versicherungsunternehmen von der bevorstehenden Änderung dieser Beteiligungsverhältnisse Kenntnis erlangt,</w:t>
      </w:r>
    </w:p>
    <w:p>
      <w:pPr>
        <w:ind w:left="420"/>
      </w:pPr>
      <w:r>
        <w:t xml:space="preserve">6. das Bestehen, die Änderung und die Beendigung einer engen Verbindung nach § 7 Nummer 7 zu einer anderen natürlichen Person oder einem anderen Unternehmen,</w:t>
      </w:r>
    </w:p>
    <w:p>
      <w:pPr>
        <w:ind w:left="420"/>
      </w:pPr>
      <w:r>
        <w:t xml:space="preserve">7. jährlich den Namen und die Anschrift des Inhabers einer bedeutenden Beteiligung am Versicherungsunternehmen und die Höhe dieser Beteiligung, wenn das Unternehmen hiervon Kenntnis erlangt,</w:t>
      </w:r>
    </w:p>
    <w:p>
      <w:pPr>
        <w:ind w:left="420"/>
      </w:pPr>
      <w:r>
        <w:t xml:space="preserve">8. die Absicht, wichtige Funktionen oder Versicherungstätigkeiten auszugliedern, unter Vorlage des Vertragsentwurfs,</w:t>
      </w:r>
    </w:p>
    <w:p>
      <w:pPr>
        <w:ind w:left="420"/>
      </w:pPr>
      <w:r>
        <w:t xml:space="preserve">9. nach Vertragsschluss eingetretene wesentliche Umstände in Bezug auf wichtige ausgegliederte Funktionen und Versicherungstätigkeiten und</w:t>
      </w:r>
    </w:p>
    <w:p>
      <w:pPr>
        <w:ind w:left="420"/>
      </w:pPr>
      <w:r>
        <w:t xml:space="preserve">10. die mittelbare oder unmittelbare Absicherung von Schadenrisiken oder sonstigen Risiken, sofern dies durch die Emission von Schuldtiteln oder anderer Finanzierungsmechanismen und unter Beteiligung einer ausschließlich für diese Zwecke bestehenden Gesellschaft erfolgt; dabei sind der Emissionsprospekt, die dem Risikotransfer zugrunde liegenden vertraglichen Regelungen sowie eine Aufstellung der identifizierten Risiken der Transaktion für das Versicherungsunternehmen beizufügen.</w:t>
      </w:r>
    </w:p>
    <w:p>
      <w:r>
        <w:rPr>
          <w:color w:val="555555"/>
          <w:sz w:val="17"/>
        </w:rPr>
        <w:t xml:space="preserve">Zitiervorschlag: § 47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https://recht.nulegal.eu/gesetze/VAG%202016/47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