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45 VAG 2016 — Befreiung von Berichtspflichten</w:t>
      </w:r>
    </w:p>
    <w:p>
      <w:r>
        <w:rPr>
          <w:color w:val="555555"/>
          <w:sz w:val="18"/>
        </w:rPr>
        <w:t xml:space="preserve">Versicherungsaufsichtsgesetz</w:t>
      </w:r>
    </w:p>
    <w:p>
      <w:r>
        <w:rPr>
          <w:color w:val="555555"/>
          <w:sz w:val="18"/>
        </w:rPr>
        <w:t xml:space="preserve">Stand: 10.06.2019 (konsolidierte Textfassung, kein amtliches Inkrafttretensdatum)</w:t>
      </w:r>
    </w:p>
    <w:p>
      <w:r>
        <w:t xml:space="preserve">(1) Wenn Berichte auf Grund von delegierten Rechtsakten gemäß Artikel 35 Absatz 9 und technischen Durchführungsstandards gemäß Artikel 35 Absatz 10 der Richtlinie 2009/138/EG gegenüber der Aufsichtsbehörde häufiger als einmal pro Jahr zu erstatten sind, kann die Aufsichtsbehörde Versicherungsunternehmen ganz oder teilweise von dieser Berichtspflicht befreien, wenn</w:t>
      </w:r>
    </w:p>
    <w:p>
      <w:pPr>
        <w:ind w:left="420"/>
      </w:pPr>
      <w:r>
        <w:t xml:space="preserve">1. die Übermittlung dieser Informationen im Verhältnis zu Art, Umfang und Komplexität der mit dem Geschäft verbundenen Risiken mit einem übermäßigen Aufwand verbunden wäre und</w:t>
      </w:r>
    </w:p>
    <w:p>
      <w:pPr>
        <w:ind w:left="420"/>
      </w:pPr>
      <w:r>
        <w:t xml:space="preserve">2. die Informationen mindestens einmal pro Jahr eingereicht werden.</w:t>
      </w:r>
    </w:p>
    <w:p>
      <w:r>
        <w:t xml:space="preserve">Im Fall der vierteljährlichen Berichterstattung zur Berechnung der Mindestkapitalanforderung gemäß § 123 Absatz 1 Satz 1 ist eine Befreiung ausgeschlossen. Eine Befreiung ist ferner ausgeschlossen, wenn das Versicherungsunternehmen zu einer Gruppe im Sinne des § 7 Nummer 13 gehört, es sei denn, das Unternehmen weist nach, dass eine regelmäßige unterjährige Berichterstattung nach Art, Umfang und Komplexität der mit dem Geschäft der Gruppe verbundenen Risiken nicht angemessen ist.</w:t>
      </w:r>
    </w:p>
    <w:p>
      <w:r>
        <w:t xml:space="preserve">(2) Die Aufsichtsbehörde kann Versicherungsunternehmen ganz oder teilweise von der regelmäßigen Berichterstattung auf Grund von delegierten Rechtsakten gemäß Artikel 35 Absatz 9 oder technischen Durchführungsstandards gemäß Artikel 35 Absatz 10 der Richtlinie 2009/138/EG befreien, wenn</w:t>
      </w:r>
    </w:p>
    <w:p>
      <w:pPr>
        <w:ind w:left="420"/>
      </w:pPr>
      <w:r>
        <w:t xml:space="preserve">1. die Übermittlung der betreffenden Informationen in Anbetracht von Art, Umfang und Komplexität der mit dem Geschäft des Unternehmens verbundenen Risiken mit einem übermäßigen Aufwand verbunden wäre,</w:t>
      </w:r>
    </w:p>
    <w:p>
      <w:pPr>
        <w:ind w:left="420"/>
      </w:pPr>
      <w:r>
        <w:t xml:space="preserve">2. die Übermittlung der betreffenden Informationen für eine wirksame Beaufsichtigung des Unternehmens nicht erforderlich ist,</w:t>
      </w:r>
    </w:p>
    <w:p>
      <w:pPr>
        <w:ind w:left="420"/>
      </w:pPr>
      <w:r>
        <w:t xml:space="preserve">3. die Befreiung nicht der Stabilität der betroffenen Finanzsysteme in der Union zuwiderläuft und</w:t>
      </w:r>
    </w:p>
    <w:p>
      <w:pPr>
        <w:ind w:left="420"/>
      </w:pPr>
      <w:r>
        <w:t xml:space="preserve">4. das Unternehmen in der Lage ist, die Informationen auf Anforderung unverzüglich zu übermitteln.</w:t>
      </w:r>
    </w:p>
    <w:p>
      <w:r>
        <w:t xml:space="preserve">Eine Befreiung ist ausgeschlossen, wenn das Versicherungsunternehmen zu einer Gruppe im Sinne des § 7 Nummer 13 gehört, es sei denn, das Unternehmen weist nach, dass eine regelmäßige unterjährige Berichterstattung nach Art, Umfang und Komplexität der mit dem Geschäft der Gruppe verbundenen Risiken unter Berücksichtigung des Ziels der Finanzstabilität nicht angemessen ist.</w:t>
      </w:r>
    </w:p>
    <w:p>
      <w:r>
        <w:t xml:space="preserve">(3) Der Anteil aller Versicherungsunternehmen innerhalb des Nichtlebensversicherungsmarktes, die von Berichtspflichten nach den Absätzen 1 und 2 befreit werden, darf jeweils einen Marktanteil von 20 Prozent nicht überschreiten. Das Gleiche gilt für den Anteil aller Versicherungsunternehmen innerhalb des Lebensversicherungsmarktes. Der Marktanteil ist für den Nichtlebensversicherungsmarkt auf der Basis der gebuchten Bruttoprämien und für den Lebensversicherungsmarkt auf der Basis der versicherungstechnischen Bruttorückstellungen zu ermitteln.</w:t>
      </w:r>
    </w:p>
    <w:p>
      <w:r>
        <w:t xml:space="preserve">(4) Bei der Befreiung von Unternehmen berücksichtigt die Aufsichtsbehörde die Unternehmen mit den geringsten Marktanteilen vorrangig.</w:t>
      </w:r>
    </w:p>
    <w:p>
      <w:r>
        <w:t xml:space="preserve">(5) Bei der Prüfung, ob der Aufwand für die Übermittlung von Informationen im Verhältnis zu Art, Umfang und Komplexität der Risiken des Unternehmens übermäßig wäre, berücksichtigt die Aufsichtsbehörde mindestens die folgenden Kriterien:</w:t>
      </w:r>
    </w:p>
    <w:p>
      <w:pPr>
        <w:ind w:left="420"/>
      </w:pPr>
      <w:r>
        <w:t xml:space="preserve">1. das Volumen der Prämien, versicherungstechnischen Rückstellungen und Vermögenswerte des Unternehmens,</w:t>
      </w:r>
    </w:p>
    <w:p>
      <w:pPr>
        <w:ind w:left="420"/>
      </w:pPr>
      <w:r>
        <w:t xml:space="preserve">2. die Volatilität der durch das Unternehmen abgedeckten Versicherungsleistungen,</w:t>
      </w:r>
    </w:p>
    <w:p>
      <w:pPr>
        <w:ind w:left="420"/>
      </w:pPr>
      <w:r>
        <w:t xml:space="preserve">3. die Marktrisiken, die durch die Investitionen des Unternehmens entstehen,</w:t>
      </w:r>
    </w:p>
    <w:p>
      <w:pPr>
        <w:ind w:left="420"/>
      </w:pPr>
      <w:r>
        <w:t xml:space="preserve">4. die Höhe der Risikokonzentrationen,</w:t>
      </w:r>
    </w:p>
    <w:p>
      <w:pPr>
        <w:ind w:left="420"/>
      </w:pPr>
      <w:r>
        <w:t xml:space="preserve">5. die Gesamtzahl der Versicherungszweige, für die eine Zulassung erteilt wurde,</w:t>
      </w:r>
    </w:p>
    <w:p>
      <w:pPr>
        <w:ind w:left="420"/>
      </w:pPr>
      <w:r>
        <w:t xml:space="preserve">6. die potenziellen Auswirkungen der Verwaltung der Vermögenswerte des Unternehmens auf die Finanzstabilität,</w:t>
      </w:r>
    </w:p>
    <w:p>
      <w:pPr>
        <w:ind w:left="420"/>
      </w:pPr>
      <w:r>
        <w:t xml:space="preserve">7. die Systeme und Strukturen des Unternehmens zur Übermittlung von Informationen für die Zwecke der Beaufsichtigung und die in § 29 Absatz 4 genannten schriftlich festgelegten Leitlinien,</w:t>
      </w:r>
    </w:p>
    <w:p>
      <w:pPr>
        <w:ind w:left="420"/>
      </w:pPr>
      <w:r>
        <w:t xml:space="preserve">8. die Angemessenheit des Governance-Systems des Unternehmens,</w:t>
      </w:r>
    </w:p>
    <w:p>
      <w:pPr>
        <w:ind w:left="420"/>
      </w:pPr>
      <w:r>
        <w:t xml:space="preserve">9. die Höhe der Eigenmittel zur Einhaltung der Solvabilitätskapitalanforderung und der Mindestkapitalanforderung und</w:t>
      </w:r>
    </w:p>
    <w:p>
      <w:pPr>
        <w:ind w:left="420"/>
      </w:pPr>
      <w:r>
        <w:t xml:space="preserve">10. ob es sich bei dem Unternehmen um ein firmeneigenes Versicherungsunternehmen handelt, das nur Risiken abdeckt, die mit dem Industrie- oder Handelskonzern verbunden sind, zu dem es gehört.</w:t>
      </w:r>
    </w:p>
    <w:p>
      <w:r>
        <w:rPr>
          <w:color w:val="555555"/>
          <w:sz w:val="17"/>
        </w:rPr>
        <w:t xml:space="preserve">Zitiervorschlag: § 45 VAG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https://recht.nulegal.eu/gesetze/VAG%202016/45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