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43a VAG 2016 — Berichtspflichten zum Zwecke der Finanzstabilität; Verordnungsermächtigung</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Die Aufsichtsbehörde kann von beaufsichtigten Unternehmen und von beaufsichtigten Gruppen Informationen verlangen,</w:t>
      </w:r>
    </w:p>
    <w:p>
      <w:pPr>
        <w:ind w:left="420"/>
      </w:pPr>
      <w:r>
        <w:t xml:space="preserve">1. die sie zur Erfüllung ihrer Aufgaben nach § 294 Absatz 2 Satz 3 und 4 benötigt oder</w:t>
      </w:r>
    </w:p>
    <w:p>
      <w:pPr>
        <w:ind w:left="420"/>
      </w:pPr>
      <w:r>
        <w:t xml:space="preserve">2. die sie gemäß Artikel 35 der Verordnung (EU) Nr. 1094/2010 des Europäischen Parlaments und des Rates vom 24. November 2010 zur Errichtung einer Europäischen Aufsichtsbehörde (Europäische Aufsichtsbehörde für das Versicherungswesen und die betriebliche Altersversorgung), zur Änderung des Beschlusses Nr. 716/2009/EG und zur Aufhebung des Beschlusses 2009/79/EG der Kommission (ABl. L 331 vom 15.12.2010, S. 48), die durch die Richtlinie 2014/51/EU (ABl. L 153 vom 22.5.2014, S. 1) geändert worden ist, der Europäischen Aufsichtsbehörde für das Versicherungswesen und die betriebliche Altersversorgung zur Verfügung stellen muss.</w:t>
      </w:r>
    </w:p>
    <w:p>
      <w:r>
        <w:t xml:space="preserve">(2) Das Bundesministerium der Finanzen wird ermächtigt, für beaufsichtigte Unternehmen und beaufsichtigte Gruppen, die jeweils nicht der Aufsicht durch die Aufsichtsbehörden der Länder unterliegen, durch Rechtsverordnung Vorschriften zu erlassen, die Berichtspflichten nach Absatz 1 begründen und den Inhalt, die Form der zu übermittelnden Informationen sowie die Frist für die Einreichung bei der Bundesanstalt festlegen. Die Ermächtigung kann durch Rechtsverordnung auf die Bundesanstalt übertragen werden. Rechtsverordnungen nach den Sätzen 1 und 2 bedürfen nicht der Zustimmung des Bundesrates.</w:t>
      </w:r>
    </w:p>
    <w:p>
      <w:r>
        <w:rPr>
          <w:color w:val="555555"/>
          <w:sz w:val="17"/>
        </w:rPr>
        <w:t xml:space="preserve">Zitiervorschlag: § 43a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https://recht.nulegal.eu/gesetze/VAG%202016/43a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