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VAG 2016 — Informationspflichten; Berechnungen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Versicherungsunternehmen haben den Aufsichtsbehörden nach Maßgabe dieses Gesetzes diejenigen Informationen zu übermitteln, die sie zur Erfüllung ihrer Aufgaben nach diesem Gesetz (§ 294 Absatz 1) benötigen.</w:t>
      </w:r>
    </w:p>
    <w:p>
      <w:r>
        <w:t xml:space="preserve">(2) Die Informationen müssen vollständig, aktuell und genau sein. Sie müssen der Art, dem Umfang und der Komplexität der Geschäftstätigkeit des betreffenden Unternehmens und insbesondere den mit dieser Geschäftstätigkeit einhergehenden Risiken Rechnung tragen. Die Unternehmen haben die Informationen fristgerecht und in verständlicher Form bei der Aufsichtsbehörde einzureichen.</w:t>
      </w:r>
    </w:p>
    <w:p>
      <w:r>
        <w:rPr>
          <w:color w:val="555555"/>
          <w:sz w:val="17"/>
        </w:rPr>
        <w:t xml:space="preserve">Zitiervorschlag: § 43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