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VAG 2016 — Aktualisierung des Solvabilitäts- und Finanzberichts</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Verändert eine wichtige Entwicklung die Bedeutung der im Solvabilitäts- und Finanzbericht veröffentlichten Informationen erheblich, veröffentlicht das betroffene Versicherungsunternehmen angemessene Angaben über Art und Auswirkungen der wichtigen Entwicklung. Eine wichtige Entwicklung liegt insbesondere vor, wenn</w:t>
      </w:r>
    </w:p>
    <w:p>
      <w:pPr>
        <w:ind w:left="420"/>
      </w:pPr>
      <w:r>
        <w:t xml:space="preserve">1. eine Nichteinhaltung der Mindestkapitalanforderung festgestellt wird und entweder die Aufsichtsbehörde der Ansicht ist, dass das betroffene Versicherungsunternehmen keinen realistischen kurzfristigen Finanzierungsplan vorlegen kann oder ein solcher Plan nicht innerhalb eines Monats nach Feststellung der Nichteinhaltung der Mindestkapitalanforderung eingereicht worden ist;</w:t>
      </w:r>
    </w:p>
    <w:p>
      <w:pPr>
        <w:ind w:left="420"/>
      </w:pPr>
      <w:r>
        <w:t xml:space="preserve">2. eine wesentliche Nichteinhaltung der Solvabilitätskapitalanforderung festgestellt wird und die Aufsichtsbehörde nicht innerhalb von zwei Monaten nach der Feststellung der Nichteinhaltung einen Sanierungsplan erhält, den sie als realistisch betrachtet.</w:t>
      </w:r>
    </w:p>
    <w:p>
      <w:r>
        <w:t xml:space="preserve">Unverzüglich zu veröffentlichen sind in den Fällen des Satzes 2 mindestens jeweils der Betrag der Nichteinhaltung, die Erläuterung ihrer Gründe und Auswirkungen sowie ergriffene und geplante Abhilfemaßnahmen.</w:t>
      </w:r>
    </w:p>
    <w:p>
      <w:r>
        <w:t xml:space="preserve">(2) Eine Veröffentlichung hat auch zu erfolgen, wenn</w:t>
      </w:r>
    </w:p>
    <w:p>
      <w:pPr>
        <w:ind w:left="420"/>
      </w:pPr>
      <w:r>
        <w:t xml:space="preserve">1. die Nichteinhaltung der Mindestkapitalanforderung nicht innerhalb von drei Monaten nach ihrer Feststellung beseitigt wurde oder</w:t>
      </w:r>
    </w:p>
    <w:p>
      <w:pPr>
        <w:ind w:left="420"/>
      </w:pPr>
      <w:r>
        <w:t xml:space="preserve">2. die wesentliche Nichteinhaltung der Solvabilitätskapitalanforderung sechs Monate nach ihrer Feststellung nicht behoben wurde.</w:t>
      </w:r>
    </w:p>
    <w:p>
      <w:r>
        <w:t xml:space="preserve">In der Veröffentlichung ist anzugeben, welche Abhilfemaßnahmen bereits ergriffen wurden und welche noch geplant sind. Die Veröffentlichung ist bei Nichteinhaltung der Mindestkapitalanforderung am Ende des Dreimonats- und ansonsten am Ende des Sechsmonatszeitraums vorzunehmen.</w:t>
      </w:r>
    </w:p>
    <w:p>
      <w:r>
        <w:rPr>
          <w:color w:val="555555"/>
          <w:sz w:val="17"/>
        </w:rPr>
        <w:t xml:space="preserve">Zitiervorschlag: § 42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