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VAG 2016 — Solvabilitäts- und Finanzbericht</w:t>
      </w:r>
    </w:p>
    <w:p>
      <w:r>
        <w:rPr>
          <w:color w:val="555555"/>
          <w:sz w:val="18"/>
        </w:rPr>
        <w:t xml:space="preserve">Versicherungsaufsichtsgesetz</w:t>
      </w:r>
    </w:p>
    <w:p>
      <w:r>
        <w:rPr>
          <w:color w:val="555555"/>
          <w:sz w:val="18"/>
        </w:rPr>
        <w:t xml:space="preserve">Stand: 10.01.2020 (konsolidierte Textfassung, kein amtliches Inkrafttretensdatum)</w:t>
      </w:r>
    </w:p>
    <w:p>
      <w:r>
        <w:t xml:space="preserve">(1) Versicherungsunternehmen haben mindestens einmal jährlich, spätestens 14 Wochen nach Ende des Geschäftsjahres, einen Solvabilitäts- und Finanzbericht zu veröffentlichen. Für den Bericht auf Gruppenebene verlängert sich die Frist um sechs Wochen. Der Bericht ist vor der Veröffentlichung von dem Geschäftsführungsorgan zu genehmigen. Der Bericht ist nach der Veröffentlichung unverzüglich der Aufsichtsbehörde zu übersenden.</w:t>
      </w:r>
    </w:p>
    <w:p>
      <w:r>
        <w:t xml:space="preserve">(2) In dem Solvabilitäts- und Finanzbericht sind wesentliche Informationen über die Solvabilitäts- und Finanzlage des Versicherungsunternehmens darzulegen. Die Angaben in diesem Bericht müssen sich in Bezug auf den Grad ihrer Detaillierung nach der Art, dem Umfang und der Komplexität der Geschäftstätigkeit und der Risiken des Unternehmens richten sowie allgemein verständlich sein. Dabei sind zu beschreiben:</w:t>
      </w:r>
    </w:p>
    <w:p>
      <w:pPr>
        <w:ind w:left="420"/>
      </w:pPr>
      <w:r>
        <w:t xml:space="preserve">1. die Geschäftstätigkeit und die Geschäftsergebnisse des Unternehmens,</w:t>
      </w:r>
    </w:p>
    <w:p>
      <w:pPr>
        <w:ind w:left="420"/>
      </w:pPr>
      <w:r>
        <w:t xml:space="preserve">2. die Geschäftsorganisation unter Bewertung ihrer Angemessenheit für das Risikoprofil des Unternehmens,</w:t>
      </w:r>
    </w:p>
    <w:p>
      <w:pPr>
        <w:ind w:left="420"/>
      </w:pPr>
      <w:r>
        <w:t xml:space="preserve">3. für jede Risikokategorie gesondert das Gefährdungspotenzial, die Risikokonzentrationen, die Risikominderungsmaßnahmen und die Risikosensitivität,</w:t>
      </w:r>
    </w:p>
    <w:p>
      <w:pPr>
        <w:ind w:left="420"/>
      </w:pPr>
      <w:r>
        <w:t xml:space="preserve">4. für die Vermögenswerte, versicherungstechnischen Rückstellungen und sonstigen Verbindlichkeiten gemäß der Solvabilitätsübersicht jeweils gesondert die für ihre Bewertung verwendeten Grundlagen und Methoden zusammen mit einer Erklärung der wesentlichen Unterschiede zu den Grundlagen und Methoden, die zu ihrer Bewertung im Jahresabschluss herangezogen wurden, sowie</w:t>
      </w:r>
    </w:p>
    <w:p>
      <w:pPr>
        <w:ind w:left="420"/>
      </w:pPr>
      <w:r>
        <w:t xml:space="preserve">5. das Kapitalmanagement unter Angabe mindestens der Struktur und des Betrags der Eigenmittel und ihrer Qualität sowie der Beträge der Solvabilitätskapitalanforderung und der Mindestkapitalanforderung.</w:t>
      </w:r>
    </w:p>
    <w:p>
      <w:r>
        <w:t xml:space="preserve">Haben Versicherungsunternehmen die nach § 134c Absatz 1 bis 3 des Aktiengesetzes erforderlichen Informationen offenzulegen, so können diese im Solvabilitäts- und Finanzbericht bei den Angaben zum Liquiditätsrisiko unter Punkt C.4 des Anhangs XX der Delegierten Verordnung (EU) 2015/35 der Kommission vom 10. Oktober 2014 zur Ergänzung der Richtlinie 2009/138/EG des Europäischen Parlaments und des Rates betreffend die Aufnahme und Ausübung der Versicherungs- und der Rückversicherungstätigkeit (Solvabilität II) (ABl. L 12 vom 17.1.2015, S. 1; L 195 vom 1.8.2018, S. 27), die zuletzt durch die Delegierte Verordnung (EU) 2019/1865 (ABl. L 289 vom 8.11.2019, S. 3) geändert worden ist, offengelegt werden. Den Informationen ist die Überschrift „Informationen nach § 134c Absatz 1 bis 3 des Aktiengesetzes“ voranzustellen.</w:t>
      </w:r>
    </w:p>
    <w:p>
      <w:r>
        <w:t xml:space="preserve">(3) Kommt die in § 80 genannte Matching-Anpassung zur Anwendung, umfasst die in Absatz 2 Nummer 4 genannte Beschreibung eine Beschreibung der Matching-Anpassung, des Portfolios der Verpflichtungen und der zugeordneten Vermögenswerte, auf die die Matching-Anpassung angewendet wird, sowie eine Quantifizierung der Auswirkungen der Änderung der Matching-Anpassung auf null auf die Finanzlage eines Unternehmens. Die in Absatz 2 Nummer 4 genannte Beschreibung enthält auch eine Erklärung darüber, ob die in § 82 genannte Volatilitätsanpassung vom Unternehmen verwendet wird, sowie eine Quantifizierung der Auswirkungen der Änderung der Volatilitätsanpassung auf null auf die Finanzlage eines Unternehmens.</w:t>
      </w:r>
    </w:p>
    <w:p>
      <w:r>
        <w:t xml:space="preserve">(4) Zur Beschreibung der Eigenmittel gehören</w:t>
      </w:r>
    </w:p>
    <w:p>
      <w:pPr>
        <w:ind w:left="420"/>
      </w:pPr>
      <w:r>
        <w:t xml:space="preserve">1. eine Analyse aller wesentlichen Veränderungen im Vergleich zum Vorjahresberichtszeitraum,</w:t>
      </w:r>
    </w:p>
    <w:p>
      <w:pPr>
        <w:ind w:left="420"/>
      </w:pPr>
      <w:r>
        <w:t xml:space="preserve">2. eine Erläuterung aller größeren Unterschiede in Bezug auf den Wert der Eigenmittelbestandteile im Jahresabschluss und</w:t>
      </w:r>
    </w:p>
    <w:p>
      <w:pPr>
        <w:ind w:left="420"/>
      </w:pPr>
      <w:r>
        <w:t xml:space="preserve">3. eine kurze Darstellung der Übertragbarkeit des Kapitals.</w:t>
      </w:r>
    </w:p>
    <w:p>
      <w:r>
        <w:t xml:space="preserve">Versicherungsunternehmen, die ein internes oder partielles internes Modell für die Berechnung der Solvabilitätskapitalanforderung verwenden, haben zusätzlich ausreichende Informationen zur Erläuterung der Hauptunterschiede zu geben, die zwischen den Annahmen bestehen, die der Standardformel und ihrem Modell zugrunde liegen.</w:t>
      </w:r>
    </w:p>
    <w:p>
      <w:r>
        <w:t xml:space="preserve">(5) Sofern während des Berichtszeitraums eine Nichteinhaltung der Mindestkapitalanforderung oder eine wesentliche Nichteinhaltung der Solvabilitätskapitalanforderung eingetreten ist, sind</w:t>
      </w:r>
    </w:p>
    <w:p>
      <w:pPr>
        <w:ind w:left="420"/>
      </w:pPr>
      <w:r>
        <w:t xml:space="preserve">1. der maximale Betrag der Unterschreitung der jeweiligen Kapitalanforderung anzugeben,</w:t>
      </w:r>
    </w:p>
    <w:p>
      <w:pPr>
        <w:ind w:left="420"/>
      </w:pPr>
      <w:r>
        <w:t xml:space="preserve">2. die Gründe und Folgen der Nichteinhaltung zu erläutern und</w:t>
      </w:r>
    </w:p>
    <w:p>
      <w:pPr>
        <w:ind w:left="420"/>
      </w:pPr>
      <w:r>
        <w:t xml:space="preserve">3. die ergriffenen sowie geplanten Abhilfemaßnahmen darzustellen.</w:t>
      </w:r>
    </w:p>
    <w:p>
      <w:r>
        <w:t xml:space="preserve">(6) Wenn ein Kapitalaufschlag festgesetzt wurde, muss dieser gesondert angegeben werden. Daneben muss in diesem Fall auch der Betrag ausgewiesen werden, der nach den Vorschriften über die Berechnung der Solvabilitätskapitalanforderung ermittelt wurde. Hat das Versicherungsunternehmen auf Verlangen der Aufsichtsbehörde unternehmensspezifische Parameter bei der Berechnung der Solvabilitätskapitalanforderung zu verwenden, sind deren Auswirkungen auf die Berechnung im Einzelnen zu quantifizieren und ebenfalls gesondert auszuweisen. In beiden Fällen ist auf die von der Aufsichtsbehörde angegebenen Gründe für die getroffene Maßnahme einzugehen.</w:t>
      </w:r>
    </w:p>
    <w:p>
      <w:r>
        <w:t xml:space="preserve">(7) Sofern die Aufsichtsbehörde den Endbetrag der Solvabilitätskapitalanforderung noch prüft, muss in der Veröffentlichung nach Absatz 1 darauf hingewiesen werden.</w:t>
      </w:r>
    </w:p>
    <w:p>
      <w:r>
        <w:t xml:space="preserve">(8) In dem Bericht können mit Zustimmung der Aufsichtsbehörde Angaben durch Verweise auf Informationen ersetzt werden, die im Rahmen anderer allgemeiner oder aufsichtsrechtlicher Vorschriften veröffentlicht worden sind. Die Zustimmung wird erteilt, sofern die Informationen, auf die verwiesen werden soll, nach Art und Umfang gleichwertig sind.</w:t>
      </w:r>
    </w:p>
    <w:p>
      <w:r>
        <w:rPr>
          <w:color w:val="555555"/>
          <w:sz w:val="17"/>
        </w:rPr>
        <w:t xml:space="preserve">Zitiervorschlag: § 40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