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VAG 2016 — Verordnungsermächtigung</w:t>
      </w:r>
    </w:p>
    <w:p>
      <w:r>
        <w:rPr>
          <w:color w:val="555555"/>
          <w:sz w:val="18"/>
        </w:rPr>
        <w:t xml:space="preserve">Versicherungsaufsichtsgesetz</w:t>
      </w:r>
    </w:p>
    <w:p>
      <w:r>
        <w:rPr>
          <w:color w:val="555555"/>
          <w:sz w:val="18"/>
        </w:rPr>
        <w:t xml:space="preserve">Stand: 03.01.2024 (konsolidierte Textfassung, kein amtliches Inkrafttretensdatum)</w:t>
      </w:r>
    </w:p>
    <w:p>
      <w:r>
        <w:t xml:space="preserve">(1) Das Bundesministerium der Finanzen wird ermächtigt, für Versicherungsunternehmen, die nicht der Aufsicht durch die Aufsichtsbehörden der Länder unterliegen, durch Rechtsverordnung Vorschriften zu erlassen über</w:t>
      </w:r>
    </w:p>
    <w:p>
      <w:pPr>
        <w:ind w:left="420"/>
      </w:pPr>
      <w:r>
        <w:t xml:space="preserve">1. die Buchführung, den Inhalt, die Form, die Frist und die Stückzahl des bei der Aufsichtsbehörde einzureichenden internen Berichts, bestehend aus einer für Aufsichtszwecke gegliederten Bilanz und einer nach Versicherungszweigen und Versicherungsarten gegliederten Gewinn-und-Verlustrechnung sowie besonderen Erläuterungen zur Bilanz und zur Gewinn-und-Verlustrechnung, soweit dies zur Durchführung der Aufsicht nach diesem Gesetz erforderlich ist;</w:t>
      </w:r>
    </w:p>
    <w:p>
      <w:pPr>
        <w:ind w:left="420"/>
      </w:pPr>
      <w:r>
        <w:t xml:space="preserve">2. den Inhalt, die Form, die Frist und die Stückzahl des bei der Aufsichtsbehörde vierteljährlich einzureichenden internen Zwischenberichts, bestehend aus einer Zusammenstellung aktueller Buchhaltungs- und Bestandsdaten sowie aus Angaben über die Anzahl der Versicherungsfälle, soweit dies zur Durchführung der Aufsicht nach diesem Gesetz erforderlich ist;</w:t>
      </w:r>
    </w:p>
    <w:p>
      <w:pPr>
        <w:ind w:left="420"/>
      </w:pPr>
      <w:r>
        <w:t xml:space="preserve">3. den Gegenstand der Prüfung nach § 35 Absatz 1 sowie den Inhalt, die Form und die Frist der Prüfungsberichte nach § 35 Absatz 1 und 2 sowie den Inhalt, die Frist und die Form der Einreichung der Prüfungsberichte bei der Aufsichtsbehörde nach § 341k des Handelsgesetzbuchs, soweit dies zur Durchführung der Aufsicht nach diesem Gesetz erforderlich ist, insbesondere, um einheitliche Unterlagen zur Beurteilung der von den Versicherungsunternehmen durchgeführten Versicherungsgeschäfte zu erhalten;</w:t>
      </w:r>
    </w:p>
    <w:p>
      <w:pPr>
        <w:ind w:left="420"/>
      </w:pPr>
      <w:r>
        <w:t xml:space="preserve">3a. den Zeitpunkt der Prüfung nach § 35 Absatz 5 sowie den Inhalt, die Form und die Frist des Berichts über diese Prüfung, soweit dies zur Erfüllung der Aufgaben der Bundesanstalt erforderlich ist;</w:t>
      </w:r>
    </w:p>
    <w:p>
      <w:pPr>
        <w:ind w:left="420"/>
      </w:pPr>
      <w:r>
        <w:t xml:space="preserve">4. die Prüfung des Jahresabschlusses und des Lageberichts von Versicherungsunternehmen, auf die § 341k des Handelsgesetzbuchs nicht anwendbar ist, durch einen unabhängigen Sachverständigen sowie über den Inhalt und die Frist für die Einreichung eines Sachverständigenberichts, soweit dies zur Durchführung der Aufsicht nach diesem Gesetz erforderlich ist;</w:t>
      </w:r>
    </w:p>
    <w:p>
      <w:pPr>
        <w:ind w:left="420"/>
      </w:pPr>
      <w:r>
        <w:t xml:space="preserve">5. den Inhalt, die Form und die Stückzahl der zu erstellenden Solvabilitätsübersicht sowie über die Frist für die Einreichung bei der Aufsichtsbehörde;</w:t>
      </w:r>
    </w:p>
    <w:p>
      <w:pPr>
        <w:ind w:left="420"/>
      </w:pPr>
      <w:r>
        <w:t xml:space="preserve">6. die Fristen für die Übermittlung von Informationen, die auf Grund von delegierten Rechtsakten gemäß Artikel 35 Absatz 9 und technischen Durchführungsstandards gemäß Artikel 35 Absatz 10 der Richtlinie 2009/138/EG zu übermitteln sind, und</w:t>
      </w:r>
    </w:p>
    <w:p>
      <w:pPr>
        <w:ind w:left="420"/>
      </w:pPr>
      <w:r>
        <w:t xml:space="preserve">7. die Art und Weise der Datenübermittlung, die zu verwendenden Datenformate, die einzuhaltende Datenqualität sowie über die anzugebende Unternehmenskennung.</w:t>
      </w:r>
    </w:p>
    <w:p>
      <w:r>
        <w:t xml:space="preserve">Vor dem Erlass ist der Versicherungsbeirat zu hören. Die Ermächtigung kann durch Rechtsverordnung auf die Bundesanstalt übertragen werden. Rechtsverordnungen nach den Sätzen 1 bis 3 bedürfen nicht der Zustimmung des Bundesrates. Rechtsverordnungen nach Satz 1 Nummer 1, 3 und 4 und nach Satz 3, soweit sie die Ermächtigungen nach Satz 1 Nummer 1, 3 und 4 erfassen, ergehen im Einvernehmen mit dem Bundesministerium der Justiz und für Verbraucherschutz.</w:t>
      </w:r>
    </w:p>
    <w:p>
      <w:r>
        <w:t xml:space="preserve">(2) Für Versicherungsunternehmen, die der Aufsicht durch die Aufsichtsbehörden der Länder unterliegen, können die Landesregierungen im Benehmen mit der Bundesanstalt durch Rechtsverordnung Vorschriften nach Absatz 1 erlassen. Sie können diese Befugnis durch Rechtsverordnung der Aufsichtsbehörde des Landes übertragen.</w:t>
      </w:r>
    </w:p>
    <w:p>
      <w:r>
        <w:rPr>
          <w:color w:val="555555"/>
          <w:sz w:val="17"/>
        </w:rPr>
        <w:t xml:space="preserve">Zitiervorschlag: § 39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