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35a VAG 2016 — Bestimmung von Prüfungsinhalten</w:t>
      </w:r>
    </w:p>
    <w:p>
      <w:r>
        <w:rPr>
          <w:color w:val="555555"/>
          <w:sz w:val="18"/>
        </w:rPr>
        <w:t xml:space="preserve">Versicherungsaufsichtsgesetz</w:t>
      </w:r>
    </w:p>
    <w:p>
      <w:r>
        <w:rPr>
          <w:color w:val="555555"/>
          <w:sz w:val="18"/>
        </w:rPr>
        <w:t xml:space="preserve">Stand: 03.01.2024 (konsolidierte Textfassung, kein amtliches Inkrafttretensdatum)</w:t>
      </w:r>
    </w:p>
    <w:p>
      <w:r>
        <w:t xml:space="preserve">(1) Unbeschadet der besonderen Pflichten des Prüfers nach § 35 kann die Aufsichtsbehörde gegenüber dem Versicherungsunternehmen Bestimmungen über den Inhalt der Prüfung treffen, die vom Prüfer im Rahmen der Jahresabschlussprüfung zu berücksichtigen sind. Sie kann insbesondere Schwerpunkte für die Prüfungen festlegen.</w:t>
      </w:r>
    </w:p>
    <w:p>
      <w:r>
        <w:t xml:space="preserve">(2) Die Prüfungsanordnung soll dem Versicherungsunternehmen mit einem Vorlauf von mindestens drei Monaten zum Ende des Wirtschaftsjahres bekannt gegeben werden.</w:t>
      </w:r>
    </w:p>
    <w:p>
      <w:r>
        <w:rPr>
          <w:color w:val="555555"/>
          <w:sz w:val="17"/>
        </w:rPr>
        <w:t xml:space="preserve">Zitiervorschlag: § 35a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https://recht.nulegal.eu/gesetze/VAG%202016/35a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