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359 VAG 2016 — Übergangsvorschrift zum Gesetz zur Einführung virtueller Hauptversammlungen von Aktiengesellschaften und Änderung genossenschafts- sowie insolvenz- und restrukturierungsrechtlicher Vorschriften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Für oberste Vertretungen, die bis einschließlich 31. August 2023 einberufen werden, kann der Vorstand mit Zustimmung des Aufsichtsrats entscheiden, dass die oberste Vertretung als virtuelle oberste Vertretung entsprechend § 118a des Aktiengesetzes abgehalten wird.</w:t>
      </w:r>
    </w:p>
    <w:p>
      <w:r>
        <w:t xml:space="preserve">(2) § 241 Nummer 2, § 242 Absatz 1 und § 243 Absatz 3 Satz 1 Nummer 4 des Aktiengesetzes in der ab dem 27. Juli 2022 geltenden Fassung sind erstmals auf oberste Vertretungen anzuwenden, die ab dem 27. Juli 2022 einberufen werden.</w:t>
      </w:r>
    </w:p>
    <w:p>
      <w:r>
        <w:rPr>
          <w:color w:val="555555"/>
          <w:sz w:val="17"/>
        </w:rPr>
        <w:t xml:space="preserve">Zitiervorschlag: § 359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https://recht.nulegal.eu/gesetze/VAG%202016/359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