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358 VAG 2016 — Übergangsvorschrift zum Gesetz zur Ergänzung und Änderung der Regelungen für die gleichberechtigte Teilhabe von Frauen an Führungspositionen in der Privatwirtschaft und im öffentlichen Dienst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01.02.2022 (konsolidierte Textfassung, kein amtliches Inkrafttretensdatum)</w:t>
      </w:r>
    </w:p>
    <w:p>
      <w:r>
        <w:t xml:space="preserve">§ 188 Absatz 1 Satz 2 dieses Gesetzes in Verbindung mit § 76 Absatz 4 des Aktiengesetzes und § 189 Absatz 3 Satz 1 dieses Gesetzes in Verbindung mit § 111 Absatz 5 des Aktiengesetzes in der jeweils vom 12. August 2021 an geltenden Fassung des Aktiengesetzes sind erstmals auf die Festlegung von Zielgrößen ab dem 12. August 2021 anzuwenden.</w:t>
      </w:r>
    </w:p>
    <w:p>
      <w:r>
        <w:rPr>
          <w:color w:val="555555"/>
          <w:sz w:val="17"/>
        </w:rPr>
        <w:t xml:space="preserve">Zitiervorschlag: § 358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https://recht.nulegal.eu/gesetze/VAG%202016/358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