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357 VAG 2016 — Übergangsvorschrift zum Finanzmarktintegritätsstärkungsgesetz</w:t>
      </w:r>
    </w:p>
    <w:p>
      <w:r>
        <w:rPr>
          <w:color w:val="555555"/>
          <w:sz w:val="18"/>
        </w:rPr>
        <w:t xml:space="preserve">Versicherungsaufsichtsgesetz</w:t>
      </w:r>
    </w:p>
    <w:p>
      <w:r>
        <w:rPr>
          <w:color w:val="555555"/>
          <w:sz w:val="18"/>
        </w:rPr>
        <w:t xml:space="preserve">Stand: 21.09.2021 (konsolidierte Textfassung, kein amtliches Inkrafttretensdatum)</w:t>
      </w:r>
    </w:p>
    <w:p>
      <w:r>
        <w:t xml:space="preserve">Die §§ 36, 191, 331, 332 und 334 in der ab dem 1. Juli 2021 geltenden Fassung sind erstmals auf alle gesetzlich vorgeschriebenen Abschlussprüfungen für das nach dem 31. Dezember 2021 beginnende Geschäftsjahr anzuwenden. Die §§ 36, 191, 331, 332 und 334 in der bis einschließlich 30. Juni 2021 geltenden Fassung sind letztmals anzuwenden auf alle gesetzlich vorgeschriebenen Abschlussprüfungen für das vor dem 1. Januar 2022 beginnende Geschäftsjahr.</w:t>
      </w:r>
    </w:p>
    <w:p>
      <w:r>
        <w:rPr>
          <w:color w:val="555555"/>
          <w:sz w:val="17"/>
        </w:rPr>
        <w:t xml:space="preserve">Zitiervorschlag: § 357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https://recht.nulegal.eu/gesetze/VAG%202016/357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