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355 VAG 2016 — Entscheidungen der Aufsichtsbehörde aus Anlass des Inkrafttretens dieses Gesetzes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 dem 11. April 2015 ist die Aufsichtsbehörde befugt, zu entscheiden über die Genehmigung</w:t>
      </w:r>
    </w:p>
    <w:p>
      <w:pPr>
        <w:ind w:left="420"/>
      </w:pPr>
      <w:r>
        <w:t xml:space="preserve">1. ergänzender Eigenmittel gemäß § 90,</w:t>
      </w:r>
    </w:p>
    <w:p>
      <w:pPr>
        <w:ind w:left="420"/>
      </w:pPr>
      <w:r>
        <w:t xml:space="preserve">2. der Einstufung von Eigenmittelbestandteilen nach § 91 Absatz 5,</w:t>
      </w:r>
    </w:p>
    <w:p>
      <w:pPr>
        <w:ind w:left="420"/>
      </w:pPr>
      <w:r>
        <w:t xml:space="preserve">3. von unternehmensspezifischen Parametern gemäß § 109 Absatz 2,</w:t>
      </w:r>
    </w:p>
    <w:p>
      <w:pPr>
        <w:ind w:left="420"/>
      </w:pPr>
      <w:r>
        <w:t xml:space="preserve">4. von internen Voll- oder Partialmodellen gemäß den §§ 111 und 112,</w:t>
      </w:r>
    </w:p>
    <w:p>
      <w:pPr>
        <w:ind w:left="420"/>
      </w:pPr>
      <w:r>
        <w:t xml:space="preserve">5. ergänzender Eigenmittel einer zwischengeschalteten Versicherungs-Holdinggesellschaft oder einer zwischengeschalteten gemischten Finanzholding-Gesellschaft gemäß § 257 Absatz 2,</w:t>
      </w:r>
    </w:p>
    <w:p>
      <w:pPr>
        <w:ind w:left="420"/>
      </w:pPr>
      <w:r>
        <w:t xml:space="preserve">6. eines internen Modells für die Gruppe gemäß den §§ 261 und 262 sowie 265 Absatz 5,</w:t>
      </w:r>
    </w:p>
    <w:p>
      <w:pPr>
        <w:ind w:left="420"/>
      </w:pPr>
      <w:r>
        <w:t xml:space="preserve">7. der Verwendung der Matching-Anpassung für die maßgebliche risikofreie Zinskurve gemäß den §§ 80 und 81,</w:t>
      </w:r>
    </w:p>
    <w:p>
      <w:pPr>
        <w:ind w:left="420"/>
      </w:pPr>
      <w:r>
        <w:t xml:space="preserve">8. der Verwendung der Volatilitätsanpassung für die maßgebliche risikofreie Zinskurve gemäß § 82,</w:t>
      </w:r>
    </w:p>
    <w:p>
      <w:pPr>
        <w:ind w:left="420"/>
      </w:pPr>
      <w:r>
        <w:t xml:space="preserve">9. der Anwendung der Übergangsmaßnahme bei risikofreien Zinssätzen nach § 351,</w:t>
      </w:r>
    </w:p>
    <w:p>
      <w:pPr>
        <w:ind w:left="420"/>
      </w:pPr>
      <w:r>
        <w:t xml:space="preserve">10. der Anwendung der Übergangsmaßnahme bei versicherungstechnischen Rückstellungen nach § 352.</w:t>
      </w:r>
    </w:p>
    <w:p>
      <w:r>
        <w:t xml:space="preserve">(2) Ab dem 1. April 2015 ist die Aufsichtsbehörde befugt,</w:t>
      </w:r>
    </w:p>
    <w:p>
      <w:pPr>
        <w:ind w:left="420"/>
      </w:pPr>
      <w:r>
        <w:t xml:space="preserve">1. die Ebene und den Umfang der Gruppenaufsicht gemäß den §§ 245 bis 249 festzulegen,</w:t>
      </w:r>
    </w:p>
    <w:p>
      <w:pPr>
        <w:ind w:left="420"/>
      </w:pPr>
      <w:r>
        <w:t xml:space="preserve">2. die für die Gruppenaufsicht zuständige Behörde gemäß den §§ 279 und 280 festzulegen,</w:t>
      </w:r>
    </w:p>
    <w:p>
      <w:pPr>
        <w:ind w:left="420"/>
      </w:pPr>
      <w:r>
        <w:t xml:space="preserve">3. ein Aufsichtskollegium gemäß § 283 einzusetzen.</w:t>
      </w:r>
    </w:p>
    <w:p>
      <w:r>
        <w:t xml:space="preserve">(3) Ab dem 1. Juli 2015 ist die Aufsichtsbehörde befugt,</w:t>
      </w:r>
    </w:p>
    <w:p>
      <w:pPr>
        <w:ind w:left="420"/>
      </w:pPr>
      <w:r>
        <w:t xml:space="preserve">1. über den Abzug einer Beteiligung gemäß § 259 Absatz 2 zu entscheiden,</w:t>
      </w:r>
    </w:p>
    <w:p>
      <w:pPr>
        <w:ind w:left="420"/>
      </w:pPr>
      <w:r>
        <w:t xml:space="preserve">2. die Methode zur Berechnung der Solvabilität der Gruppe gemäß § 252 auszuwählen,</w:t>
      </w:r>
    </w:p>
    <w:p>
      <w:pPr>
        <w:ind w:left="420"/>
      </w:pPr>
      <w:r>
        <w:t xml:space="preserve">3. im Einklang mit den §§ 258 und 288 über die Gleichwertigkeit zu entscheiden,</w:t>
      </w:r>
    </w:p>
    <w:p>
      <w:pPr>
        <w:ind w:left="420"/>
      </w:pPr>
      <w:r>
        <w:t xml:space="preserve">4. zu gestatten, dass Versicherungsunternehmen gemäß § 268 unter die §§ 269 und 270 fallen,</w:t>
      </w:r>
    </w:p>
    <w:p>
      <w:pPr>
        <w:ind w:left="420"/>
      </w:pPr>
      <w:r>
        <w:t xml:space="preserve">5. die Festlegungen gemäß den §§ 289 und 290 zu treffen,</w:t>
      </w:r>
    </w:p>
    <w:p>
      <w:pPr>
        <w:ind w:left="420"/>
      </w:pPr>
      <w:r>
        <w:t xml:space="preserve">6. zu entscheiden, dass Übergangsmaßnahmen nach den §§ 343 bis 350 zur Anwendung kommen.</w:t>
      </w:r>
    </w:p>
    <w:p>
      <w:r>
        <w:t xml:space="preserve">(4) Entscheidungen nach den Absätzen 1 bis 3 werden zum 1. Januar 2016 wirksam, wenn in der Entscheidung kein späteres Datum genannt wird.</w:t>
      </w:r>
    </w:p>
    <w:p>
      <w:r>
        <w:rPr>
          <w:color w:val="555555"/>
          <w:sz w:val="17"/>
        </w:rPr>
        <w:t xml:space="preserve">Zitiervorschlag: § 355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