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354 VAG 2016 — Überprüfung der langfristigen Garantien und der Maßnahmen gegen Aktienrisiken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Die Bundesanstalt informiert die Europäische Aufsichtsbehörde für das Versicherungswesen und die betriebliche Altersversorgung bis zum 1. Januar 2021 jedes Jahr über Folgendes:</w:t>
      </w:r>
    </w:p>
    <w:p>
      <w:pPr>
        <w:ind w:left="420"/>
      </w:pPr>
      <w:r>
        <w:t xml:space="preserve">1. die Verfügbarkeit von langfristigen Garantien bei Versicherungsverträgen auf ihren Binnenmärkten und das Verhalten von Versicherungsunternehmen als langfristige Investoren;</w:t>
      </w:r>
    </w:p>
    <w:p>
      <w:pPr>
        <w:ind w:left="420"/>
      </w:pPr>
      <w:r>
        <w:t xml:space="preserve">2. die Zahl der Versicherungsunternehmen, welche die Matching-Anpassung, die Volatilitätsanpassung, die Verlängerung der Frist für die Wiederherstellung gesunder Finanzverhältnisse nach § 134 Absatz 4, das durationsbasierte Untermodul „Aktienrisiko“ und die Übergangsmaßnahmen nach den §§ 351 und 352 anwenden;</w:t>
      </w:r>
    </w:p>
    <w:p>
      <w:pPr>
        <w:ind w:left="420"/>
      </w:pPr>
      <w:r>
        <w:t xml:space="preserve">3. die Auswirkungen der Matching-Anpassung, der Volatilitätsanpassung, der symmetrischen Anpassung der Kapitalanforderung für Aktienanlagen gemäß § 106 Absatz 1, des durationsbasierten Untermoduls „Aktienrisiko“ und der Übergangsmaßnahmen nach den §§ 351 und 352 auf die Finanzlage der Versicherungsunternehmen auf nationaler Ebene und anonymisiert für jedes Unternehmen;</w:t>
      </w:r>
    </w:p>
    <w:p>
      <w:pPr>
        <w:ind w:left="420"/>
      </w:pPr>
      <w:r>
        <w:t xml:space="preserve">4. die Auswirkungen der Matching-Anpassung, der Volatilitätsanpassung, der symmetrischen Anpassung der Kapitalanforderungen für Aktienanlagen gemäß § 106 Absatz 1 und des durationsbasierten Untermoduls „Aktienrisiko“ auf das Investitionsverhalten von Versicherungsunternehmen und darauf, ob dies zu einer unangemessenen Kapitalentlastung führt;</w:t>
      </w:r>
    </w:p>
    <w:p>
      <w:pPr>
        <w:ind w:left="420"/>
      </w:pPr>
      <w:r>
        <w:t xml:space="preserve">5. die Auswirkungen einer Verlängerung der Frist für die Wiederherstellung gesunder Finanzverhältnisse nach § 134 Absatz 4 auf die Bemühungen der Versicherungsunternehmen zur Aufbringung der anrechnungsfähigen Eigenmittel oder zur Senkung des Risikoprofils zur Einhaltung der Solvabilitätskapitalanforderung;</w:t>
      </w:r>
    </w:p>
    <w:p>
      <w:pPr>
        <w:ind w:left="420"/>
      </w:pPr>
      <w:r>
        <w:t xml:space="preserve">6. die Erfüllung oder Nichterfüllung der Pläne betreffend Übergangsmaßnahmen nach § 353 durch Versicherungsunternehmen, die diese Übergangsmaßnahmen nach den §§ 351 und 352 anwenden und die Wahrscheinlichkeit einer geringeren Abhängigkeit von diesen Übergangsmaßnahmen, einschließlich Maßnahmen, die von den Unternehmen und den Aufsichtsbehörden ergriffen wurden oder voraussichtlich ergriffen werden, wobei dem anwendbaren Regelungsumfeld Rechnung zu tragen ist.</w:t>
      </w:r>
    </w:p>
    <w:p>
      <w:r>
        <w:rPr>
          <w:color w:val="555555"/>
          <w:sz w:val="17"/>
        </w:rPr>
        <w:t xml:space="preserve">Zitiervorschlag: § 354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354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