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353 VAG 2016 — Plan betreffend die schrittweise Einführung von Übergangsmaßnahmen für risikofreie Zinssätze und versicherungstechnische Rückstellungen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die die Übergangsmaßnahmen nach § 351 oder § 352 anwenden, melden der Aufsichtsbehörde unverzüglich, wenn sie feststellen, dass der Fall einzutreten droht, dass die Solvabilitätskapitalanforderung am Ende des Übergangszeitraums ohne diese Übergangsmaßnahmen nicht mehr bedeckt sein würde. Die Aufsichtsbehörde verpflichtet das betroffene Versicherungsunternehmen in diesem Fall, Maßnahmen zu treffen, die zur Einhaltung der Solvabilitätskapitalanforderung am Ende des Übergangszeitraums notwendig und geeignet sind.</w:t>
      </w:r>
    </w:p>
    <w:p>
      <w:r>
        <w:t xml:space="preserve">(2) Stellt ein Versicherungsunternehmen fest, dass es die Solvabilitätskapitalanforderung ohne die Übergangsmaßnahmen nach § 351 oder § 352 nicht einhalten würde, so legt es innerhalb von zwei Monaten nach dieser Feststellung der Aufsichtsbehörde einen Plan vor, in dem die schrittweise Einführung der Maßnahmen dargelegt wird, die zur Aufbringung der anrechnungsfähigen Eigenmittel oder zur Senkung des Risikoprofils geplant sind, sodass die Einhaltung der Solvabilitätskapitalanforderung am Ende des Übergangszeitraums wiederhergestellt ist. Das betroffene Versicherungsunternehmen kann diesen Plan während des Übergangszeitraums aktualisieren.</w:t>
      </w:r>
    </w:p>
    <w:p>
      <w:r>
        <w:t xml:space="preserve">(3) Das betroffene Versicherungsunternehmen legt der Aufsichtsbehörde alle zwölf Monate einen Bericht vor, in dem die Maßnahmen zur Einhaltung der Solvabilitätskapitalanforderung am Ende des Übergangszeitraums sowie der hierbei erzielte Fortschritt dargestellt sind. Wenn aus dem Fortschrittsbericht deutlich wird, dass eine erneute Einhaltung der Solvabilitätskapitalanforderung am Ende des Übergangszeitraums unrealistisch ist, widerruft die Aufsichtsbehörde die Genehmigung für die Anwendung der Übergangsmaßnahme nach § 351 oder § 352.</w:t>
      </w:r>
    </w:p>
    <w:p>
      <w:r>
        <w:rPr>
          <w:color w:val="555555"/>
          <w:sz w:val="17"/>
        </w:rPr>
        <w:t xml:space="preserve">Zitiervorschlag: § 353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353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