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352 VAG 2016 — Versicherungstechnische Rückstellungen</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Versicherungsunternehmen dürfen mit Genehmigung der Aufsichtsbehörde bei versicherungstechnischen Rückstellungen vorübergehend einen Abzug im Sinne des Absatzes 2 geltend machen. Der Abzug kann auf der Ebene homogener Risikogruppen nach § 75 Absatz 3 zur Anwendung kommen.</w:t>
      </w:r>
    </w:p>
    <w:p>
      <w:r>
        <w:t xml:space="preserve">(2) Der vorübergehende Abzug entspricht einem Anteil der Differenz zwischen den beiden folgenden Beträgen:</w:t>
      </w:r>
    </w:p>
    <w:p>
      <w:pPr>
        <w:ind w:left="420"/>
      </w:pPr>
      <w:r>
        <w:t xml:space="preserve">1. den versicherungstechnischen Rückstellungen nach Abzug der einforderbaren Beträge aus Rückversicherungsverträgen und gegenüber Zweckgesellschaften, die nach § 75 zum 1. Januar 2016 berechnet wurden;</w:t>
      </w:r>
    </w:p>
    <w:p>
      <w:pPr>
        <w:ind w:left="420"/>
      </w:pPr>
      <w:r>
        <w:t xml:space="preserve">2. den versicherungstechnischen Rückstellungen nach Abzug der einforderbaren Beträge aus Rückversicherungsverträgen, die nach den Rechts- und Verwaltungsvorschriften berechnet wurden, die nach den §§ 341e bis 341h des Handelsgesetzbuchs und § 65 des Versicherungsaufsichtsgesetzes in den jeweils bis zum 31. Dezember 2015 geltenden Fassungen sowie den gemäß § 330 des Handelsgesetzbuchs und § 65 des Versicherungsaufsichtsgesetzes erlassenen Rechtsverordnungen in den jeweils bis zum 31. Dezember 2015 geltenden Fassungen gebildet wurden.</w:t>
      </w:r>
    </w:p>
    <w:p>
      <w:r>
        <w:t xml:space="preserve">Der maximal abzugsfähige Anteil sinkt am Ende jedes Kalenderjahres linear von 100 Prozent während des Jahres ab 2016 auf 0 Prozent am 1. Januar 2032. Wenn Versicherungsunternehmen die Volatilitätsanpassung nach § 82 am 1. Januar 2016 anwenden, wird der in Nummer 1 genannte Betrag mit der an diesem Tag geltenden Volatilitätsanpassung berechnet.</w:t>
      </w:r>
    </w:p>
    <w:p>
      <w:r>
        <w:t xml:space="preserve">(3) Die Beträge der versicherungstechnischen Rückstellungen sowie gegebenenfalls der Betrag der Volatilitätsanpassung, die zur Berechnung des vorübergehenden Abzugs nach Absatz 2 Satz 1 Nummer 1 und 2 verwendet werden, dürfen mit Genehmigung oder müssen auf Verlangen der Aufsichtsbehörde alle 24 Monate oder, wenn sich das Risikoprofil des Unternehmens wesentlich verändert, häufiger neu berechnet werden.</w:t>
      </w:r>
    </w:p>
    <w:p>
      <w:r>
        <w:t xml:space="preserve">(4) Der Abzug nach Absatz 2 kann von der Aufsichtsbehörde begrenzt werden, wenn seine Anwendung dazu führen könnte, dass die für das Unternehmen geltenden Finanzmittelanforderungen im Vergleich zu den Anforderungen sinken, die gemäß dem Handelsgesetzbuch, dem Versicherungsaufsichtsgesetz und den dazu erlassenen Rechtsverordnungen in den jeweils bis zum 31. Dezember 2015 geltenden Fassungen berechnet wurden.</w:t>
      </w:r>
    </w:p>
    <w:p>
      <w:r>
        <w:t xml:space="preserve">(5) Wenn Versicherungsunternehmen Absatz 1 anwenden, dürfen sie § 351 nicht anwenden und müssen</w:t>
      </w:r>
    </w:p>
    <w:p>
      <w:pPr>
        <w:ind w:left="420"/>
      </w:pPr>
      <w:r>
        <w:t xml:space="preserve">1. wenn sie die Solvabilitätskapitalanforderung nur bei Anwendung des vorübergehenden Abzugs erfüllen können, der zuständigen Aufsichtsbehörde jährlich einen Bericht vorlegen, in dem die Maßnahmen, die zur Aufbringung der anrechnungsfähigen Eigenmittel oder zur Senkung des Risikoprofils notwendig sind, sodass die Einhaltung der Solvabilitätskapitalanforderung hergestellt ist, sowie der hierbei erzielte Fortschritt dargestellt werden, und</w:t>
      </w:r>
    </w:p>
    <w:p>
      <w:pPr>
        <w:ind w:left="420"/>
      </w:pPr>
      <w:r>
        <w:t xml:space="preserve">2. im Rahmen ihres Solvabilitäts- und Finanzberichts offenlegen, dass sie den vorübergehenden Abzug im Sinne des Absatzes 2 auf die versicherungstechnischen Rückstellungen anwenden, und die Folgen einer Nichtanwendung dieses vorübergehenden Abzugs für ihre Finanzlage quantifizieren.</w:t>
      </w:r>
    </w:p>
    <w:p>
      <w:r>
        <w:rPr>
          <w:color w:val="555555"/>
          <w:sz w:val="17"/>
        </w:rPr>
        <w:t xml:space="preserve">Zitiervorschlag: § 352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https://recht.nulegal.eu/gesetze/VAG%202016/352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