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VAG 2016 — Pflichten des Abschlussprüfers</w:t>
      </w:r>
    </w:p>
    <w:p>
      <w:r>
        <w:rPr>
          <w:color w:val="555555"/>
          <w:sz w:val="18"/>
        </w:rPr>
        <w:t xml:space="preserve">Versicherungsaufsichtsgesetz</w:t>
      </w:r>
    </w:p>
    <w:p>
      <w:r>
        <w:rPr>
          <w:color w:val="555555"/>
          <w:sz w:val="18"/>
        </w:rPr>
        <w:t xml:space="preserve">Stand: 04.01.2025 (konsolidierte Textfassung, kein amtliches Inkrafttretensdatum)</w:t>
      </w:r>
    </w:p>
    <w:p>
      <w:r>
        <w:t xml:space="preserve">(1) Bei der Prüfung des Jahresabschlusses hat der Prüfer festzustellen, ob das Versicherungsunternehmen folgende Anzeigepflichten und Anforderungen erfüllt hat:</w:t>
      </w:r>
    </w:p>
    <w:p>
      <w:pPr>
        <w:ind w:left="420"/>
      </w:pPr>
      <w:r>
        <w:t xml:space="preserve">1. die Anzeigepflichten nach § 47 Nummer 1 bis 5 und 7 bis 9, § 58 Absatz 1 und 4 und § 59 Absatz 1 und 4,</w:t>
      </w:r>
    </w:p>
    <w:p>
      <w:pPr>
        <w:ind w:left="420"/>
      </w:pPr>
      <w:r>
        <w:t xml:space="preserve">2. die Anzeigepflichten nach § 28 Absatz 5 des Finanzkonglomerate-Aufsichtsgesetzes,</w:t>
      </w:r>
    </w:p>
    <w:p>
      <w:pPr>
        <w:ind w:left="420"/>
      </w:pPr>
      <w:r>
        <w:t xml:space="preserve">3. die Anforderungen nach Artikel 4 Absatz 1, 2 und 3 Unterabsatz 2, nach den Artikeln 4a und 9 Absatz 1 bis 4 sowie Artikel 11 Absatz 1 bis 11 Unterabsatz 1 und Absatz 12 der Verordnung (EU) Nr. 648/2012,</w:t>
      </w:r>
    </w:p>
    <w:p>
      <w:pPr>
        <w:ind w:left="420"/>
      </w:pPr>
      <w:r>
        <w:t xml:space="preserve">4. die Anforderungen nach Artikel 4 Absatz 1 Unterabsatz 1, Artikel 5a Absatz 1 sowie den Artikeln 8b bis 8d der Verordnung (EU) Nr. 1060/2009 in der jeweils geltenden Fassung,</w:t>
      </w:r>
    </w:p>
    <w:p>
      <w:pPr>
        <w:ind w:left="420"/>
      </w:pPr>
      <w:r>
        <w:t xml:space="preserve">5. die Anforderungen nach Artikel 4 Absatz 1 bis 5 und Artikel 15 der Verordnung (EU) 2015/2365 des Europäischen Parlaments und des Rates vom 25. November 2015 über die Transparenz von Wertpapierfinanzierungsgeschäften und der Weiterverwendung sowie zur Änderung der Verordnung (EU) Nr. 648/2012 (ABl. L 337 vom 23.12.2015, S. 1) in der jeweils geltenden Fassung,</w:t>
      </w:r>
    </w:p>
    <w:p>
      <w:pPr>
        <w:ind w:left="420"/>
      </w:pPr>
      <w:r>
        <w:t xml:space="preserve">6. die Anforderungen nach Artikel 16 Absatz 1 bis 4, Artikel 23 Absatz 3 Satz 1, Absatz 5, 6 und 10, Artikel 28 Absatz 2 sowie Artikel 29 der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w:t>
      </w:r>
    </w:p>
    <w:p>
      <w:pPr>
        <w:ind w:left="420"/>
      </w:pPr>
      <w:r>
        <w:t xml:space="preserve">7. die Anforderungen nach Artikel 28 Absatz 1 bis 3 der Verordnung (EU) Nr. 600/2014 des Europäischen Parlaments und des Rates vom 15. Mai 2014 über Märkte für Finanzinstrumente und zur Änderung der Verordnung (EU) Nr. 648/2012 (ABl. L 173 vom 12.6.2014, S. 84; L 6 vom 10.1.2015, S. 6; L 270 vom 15.10.2015, S. 4),</w:t>
      </w:r>
    </w:p>
    <w:p>
      <w:pPr>
        <w:ind w:left="420"/>
      </w:pPr>
      <w:r>
        <w:t xml:space="preserve">8. die Anforderungen nach den Artikeln 5 bis 9, 18 bis 26, 26b bis 26e, 27 Absatz 1 und 4 und nach Artikel 43 Absatz 5 und 6 der Verordnung (EU) 2017/2402 des Europäischen Parlaments und des Rates vom 12. Dezember 2017 zur Festlegung eines allgemeinen Rahmens für Verbriefungen und zur Schaffung eines spezifischen Rahmens für einfache, transparente und standardisierte Verbriefungen und zur Änderung der Richtlinien 2009/65/EG, 2009/138/EG, 2011/61/EU und der Verordnungen (EG) Nr. 1060/2009 und (EU) Nr. 648/2012 (ABl. L 347 vom 28.12.2017, S. 35),</w:t>
      </w:r>
    </w:p>
    <w:p>
      <w:pPr>
        <w:ind w:left="420"/>
      </w:pPr>
      <w:r>
        <w:t xml:space="preserve">9. die Anforderungen nach den Artikeln 3 bis 13 der Verordnung (EU) 2019/2088 des Europäischen Parlaments und des Rates vom 27. November 2019 über nachhaltigkeitsbezogene Offenlegungspflichten im Finanzdienstleistungssektor (ABl. L 317 vom 9.12.2019, S. 1), die durch die Verordnung (EU) 2020/852 (ABl. L 198 vom 22.6.2020, S. 13) geändert worden ist, sowie nach den Artikeln 5 bis 7 der Verordnung (EU) 2020/852 des Europäischen Parlamentes und des Rates vom 18. Juni 2020 über die Einrichtung eines Rahmens zur Erleichterung nachhaltiger Investitionen und zur Änderung der Verordnung (EU) 2019/2088 (ABl. L 198 vom 22.6.2020, S. 13) und</w:t>
      </w:r>
    </w:p>
    <w:p>
      <w:pPr>
        <w:ind w:left="420"/>
      </w:pPr>
      <w:r>
        <w:t xml:space="preserve">10. die Vorgaben nach den Artikeln 5 bis 14, 16 bis 19, 23 bis 25, 28 bis 30 und 45 Absatz 3 der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auch in Verbindung mit einer Delegierten Verordnung nach Artikel 15, 16, 20, 28 oder Artikel 30 der Verordnung (EU) 2022/2554.</w:t>
      </w:r>
    </w:p>
    <w:p>
      <w:r>
        <w:t xml:space="preserve">Das Ergebnis ist in den Prüfungsbericht aufzunehmen.</w:t>
      </w:r>
    </w:p>
    <w:p>
      <w:r>
        <w:t xml:space="preserve">(2) Der Prüfer prüft die Solvabilitätsübersicht auf Einzel- und auf Gruppenebene und berichtet gesondert über das Ergebnis.</w:t>
      </w:r>
    </w:p>
    <w:p>
      <w:r>
        <w:t xml:space="preserve">(3) Die Prüfungspflicht nach § 317 Absatz 4 des Handelsgesetzbuchs besteht bei allen Versicherungsunternehmen, auf die § 91 Absatz 2 des Aktiengesetzes anzuwenden ist.</w:t>
      </w:r>
    </w:p>
    <w:p>
      <w:r>
        <w:t xml:space="preserve">(4) Der Prüfer ist verpflichtet, der Aufsichtsbehörde unverzüglich alle Tatsachen und Entscheidungen in Bezug auf das geprüfte Unternehmen zu melden, von denen er bei der Wahrnehmung seiner Aufgaben Kenntnis erlangt und die Folgendes betreffen:</w:t>
      </w:r>
    </w:p>
    <w:p>
      <w:pPr>
        <w:ind w:left="420"/>
      </w:pPr>
      <w:r>
        <w:t xml:space="preserve">1. eine Verletzung der Rechts- und Verwaltungsvorschriften, die die Zulassungsbedingungen regeln oder auf die Ausübung der Tätigkeit der Unternehmen Anwendung finden;</w:t>
      </w:r>
    </w:p>
    <w:p>
      <w:pPr>
        <w:ind w:left="420"/>
      </w:pPr>
      <w:r>
        <w:t xml:space="preserve">2. die Beeinträchtigung der Fortsetzung der Tätigkeit des Unternehmens;</w:t>
      </w:r>
    </w:p>
    <w:p>
      <w:pPr>
        <w:ind w:left="420"/>
      </w:pPr>
      <w:r>
        <w:t xml:space="preserve">3. die Ablehnung der Bestätigung ordnungsmäßiger Rechnungslegung oder Vorbehalte;</w:t>
      </w:r>
    </w:p>
    <w:p>
      <w:pPr>
        <w:ind w:left="420"/>
      </w:pPr>
      <w:r>
        <w:t xml:space="preserve">4. die Nichtbedeckung der Solvabilitätskapitalanforderung oder</w:t>
      </w:r>
    </w:p>
    <w:p>
      <w:pPr>
        <w:ind w:left="420"/>
      </w:pPr>
      <w:r>
        <w:t xml:space="preserve">5. die Nichtbedeckung der Mindestkapitalanforderung.</w:t>
      </w:r>
    </w:p>
    <w:p>
      <w:r>
        <w:t xml:space="preserve">Satz 1 ist entsprechend anzuwenden für Tatsachen und Entscheidungen, von denen der Prüfer in Wahrnehmung seiner Aufgaben bei einem Versicherungsunternehmen Kenntnis erlangt, das mit dem geprüften Versicherungsunternehmen eine sich aus einem Kontrollverhältnis ergebende enge Verbindung unterhält. Mitteilungen nach den Sätzen 1 und 2 gelten nicht als Verletzung einer vertraglich oder durch Rechts- oder Verwaltungsvorschriften festgelegten Verschwiegenheitspflicht, es sei denn, sie erfolgen nicht in gutem Glauben.</w:t>
      </w:r>
    </w:p>
    <w:p>
      <w:r>
        <w:t xml:space="preserve">(5) Bei Versicherungsunternehmen im Sinne des § 52 hat der Prüfer auch zu prüfen, ob diese ihre Pflichten nach den §§ 53 bis 56 sowie nach dem Geldwäschegesetz erfüllt haben. Über die Prüfung ist gesondert zu berichten.</w:t>
      </w:r>
    </w:p>
    <w:p>
      <w:r>
        <w:rPr>
          <w:color w:val="555555"/>
          <w:sz w:val="17"/>
        </w:rPr>
        <w:t xml:space="preserve">Zitiervorschlag: § 35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