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349 VAG 2016 — Internes Teilgruppenmodell</w:t>
      </w:r>
    </w:p>
    <w:p>
      <w:r>
        <w:rPr>
          <w:color w:val="555555"/>
          <w:sz w:val="18"/>
        </w:rPr>
        <w:t xml:space="preserve">Versicherungsaufsichtsgesetz</w:t>
      </w:r>
    </w:p>
    <w:p>
      <w:r>
        <w:rPr>
          <w:color w:val="555555"/>
          <w:sz w:val="18"/>
        </w:rPr>
        <w:t xml:space="preserve">Stand: 29.12.2020 (konsolidierte Textfassung, kein amtliches Inkrafttretensdatum)</w:t>
      </w:r>
    </w:p>
    <w:p>
      <w:r>
        <w:t xml:space="preserve">Auf Antrag kann die Aufsichtsbehörde dem obersten beteiligten Versicherungsunternehmen die Verwendung eines nur auf einen Teil der Gruppe anwendbaren internen Gruppenmodells genehmigen. Dies setzt voraus, dass sowohl das oberste beteiligte Versicherungsunternehmen als auch das oberste beteiligte Versicherungsunternehmen der Teilgruppe, im Inland ansässig sind und die Teilgruppe einen abgrenzbaren Teil bildet, dessen Risikoprofil sich deutlich von dem der übrigen Gruppe unterscheidet. Ein Antrag nach Satz 1 ist bis spätestens 31. März 2022 bei der Aufsichtsbehörde zu stellen.</w:t>
      </w:r>
    </w:p>
    <w:p>
      <w:r>
        <w:rPr>
          <w:color w:val="555555"/>
          <w:sz w:val="17"/>
        </w:rPr>
        <w:t xml:space="preserve">Zitiervorschlag: § 349 VAG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https://recht.nulegal.eu/gesetze/VAG%202016/349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