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347 VAG 2016 — Standardparameter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Unbeschadet von § 89 Absatz 1 Satz 1, § 96 Absatz 1, § 97 Absatz 3 und der §§ 100, 109 Absatz 2 gilt im Hinblick auf die zu verwendenden Standardparameter Folgendes:</w:t>
      </w:r>
    </w:p>
    <w:p>
      <w:pPr>
        <w:ind w:left="420"/>
      </w:pPr>
      <w:r>
        <w:t xml:space="preserve">1. bis zum 31. Dezember 2017 werden bei der Berechnung der Untermodule für das Konzentrationsrisiko und das Spread-Risiko nach der Standardformel für Forderungen an die Mitglied- oder Vertragsstaaten oder deren Zentralbanken, die auf die Landeswährung eines anderen Mitglied- oder Vertragsstaats lauten und in dieser Währung refinanziert sind, dieselben Standardparameter verwendet wie für Forderungen, die auf die eigene Landeswährung lauten und in dieser Währung refinanziert sind;</w:t>
      </w:r>
    </w:p>
    <w:p>
      <w:pPr>
        <w:ind w:left="420"/>
      </w:pPr>
      <w:r>
        <w:t xml:space="preserve">2. 2018 werden die Standardparameter, die bei der Berechnung der Untermodule für das Konzentrationsrisiko und das Spread-Risiko nach der Standardformel verwendet werden, gegenüber Forderungen an die Mitglied- oder Vertragsstaaten oder deren Zentralbanken, die auf die Landeswährung eines anderen Mitglied- oder Vertragsstaats lauten und in dieser Währung refinanziert sind, um 80 Prozent gesenkt;</w:t>
      </w:r>
    </w:p>
    <w:p>
      <w:pPr>
        <w:ind w:left="420"/>
      </w:pPr>
      <w:r>
        <w:t xml:space="preserve">3. 2019 werden die Standardparameter, die bei der Berechnung der Untermodule für das Konzentrationsrisiko und das Spread-Risiko nach der Standardformel verwendet werden, gegenüber Forderungen an die Mitglied- oder Vertragsstaaten oder deren Zentralbanken, die auf die Landeswährung eines anderen Mitglied- oder Vertragsstaats lauten und in dieser Währung refinanziert sind, um 50 Prozent gesenkt;</w:t>
      </w:r>
    </w:p>
    <w:p>
      <w:pPr>
        <w:ind w:left="420"/>
      </w:pPr>
      <w:r>
        <w:t xml:space="preserve">4. ab dem 1. Januar 2020 werden die Standardparameter, die bei der Berechnung der Untermodule für das Konzentrationsrisiko und das Spread-Risiko nach der Standardformel verwendet werden, nicht mehr gegenüber Forderungen an die Mitglied- oder Vertragsstaaten oder deren Zentralbanken, die auf die Landeswährung eines anderen Mitglied- oder Vertragsstaats lauten und in dieser Währung refinanziert sind, gesenkt.</w:t>
      </w:r>
    </w:p>
    <w:p>
      <w:r>
        <w:t xml:space="preserve">(2) Für Aktien, die das Unternehmen am oder vor dem 1. Januar 2016 erworben hat, werden unbeschadet von § 89 Absatz 1 Satz 1, § 97 Absatz 3, § 98 Absatz 1 und der §§ 100, 109 Absatz 2 die Standardparameter, die bei der Berechnung des Aktienrisiko-Untermoduls gemäß der Standardformel zu verwenden sind, als gewichtete Mittelwerte berechnet, und zwar aus</w:t>
      </w:r>
    </w:p>
    <w:p>
      <w:pPr>
        <w:ind w:left="420"/>
      </w:pPr>
      <w:r>
        <w:t xml:space="preserve">1. dem Standardparameter, der bei der Berechnung des Aktienrisiko-Untermoduls gemäß Artikel 304 der Richtlinie 2009/138/EG zu verwenden ist, und</w:t>
      </w:r>
    </w:p>
    <w:p>
      <w:pPr>
        <w:ind w:left="420"/>
      </w:pPr>
      <w:r>
        <w:t xml:space="preserve">2. dem Standardparameter, der bei der Berechnung des Aktienrisiko-Untermoduls gemäß § 106 zu verwenden ist.</w:t>
      </w:r>
    </w:p>
    <w:p>
      <w:r>
        <w:t xml:space="preserve">Das Gewicht des in Satz 1 Nummer 2 genannten Parameters steigt zumindest linear am Ende jedes Jahres von 0 Prozent während des am 1. Januar 2016 beginnenden Jahres auf 100 Prozent am 1. Januar 2023.</w:t>
      </w:r>
    </w:p>
    <w:p>
      <w:r>
        <w:rPr>
          <w:color w:val="555555"/>
          <w:sz w:val="17"/>
        </w:rPr>
        <w:t xml:space="preserve">Zitiervorschlag: § 347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