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345 VAG 2016 — Eigenmittel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Unbeschadet des § 92 dürfen Basiseigenmittelbestandteile für bis zu zehn Jahre nach dem 1. Januar 2016 als Eigenmittel der Qualitätsklasse 1 angesetzt werden. Dies setzt voraus, dass diese Bestandteile</w:t>
      </w:r>
    </w:p>
    <w:p>
      <w:pPr>
        <w:ind w:left="420"/>
      </w:pPr>
      <w:r>
        <w:t xml:space="preserve">1. vor dem 1. Januar 2016 und vor dem Inkrafttreten des delegierten Rechtsakts nach Artikel 97 der Richtlinie 2009/138/EG ausgegeben wurden,</w:t>
      </w:r>
    </w:p>
    <w:p>
      <w:pPr>
        <w:ind w:left="420"/>
      </w:pPr>
      <w:r>
        <w:t xml:space="preserve">2. am 31. Dezember 2015 gemäß § 53c des Versicherungsaufsichtsgesetzes in der am 31. Dezember 2015 geltenden Fassung auch in Verbindung mit § 121a Absatz 1 Satz 2 des Versicherungsaufsichtsgesetzes in der am 31. Dezember 2015 geltenden Fassung verwendet werden konnten, um als Eigenmittel bis zu höchstens 50 Prozent auf die geforderte Solvabilitätsspanne angerechnet zu werden, und</w:t>
      </w:r>
    </w:p>
    <w:p>
      <w:pPr>
        <w:ind w:left="420"/>
      </w:pPr>
      <w:r>
        <w:t xml:space="preserve">3. andernfalls nicht als Eigenmittel der Qualitätsklasse 1 oder 2 gemäß § 92 eingestuft würden.</w:t>
      </w:r>
    </w:p>
    <w:p>
      <w:r>
        <w:t xml:space="preserve">(2) Unbeschadet des § 92 dürfen Basiseigenmittelbestandteile für bis zu zehn Jahre nach dem 1. Januar 2016 als Basiseigenmittel der Qualitätsklasse 2 angesetzt werden. Dies setzt voraus, dass diese Bestandteile</w:t>
      </w:r>
    </w:p>
    <w:p>
      <w:pPr>
        <w:ind w:left="420"/>
      </w:pPr>
      <w:r>
        <w:t xml:space="preserve">1. vor dem 1. Januar 2016 und vor dem Inkrafttreten des delegierten Rechtsakts nach Artikel 97 der Richtlinie 2009/138/EG ausgegeben wurden und</w:t>
      </w:r>
    </w:p>
    <w:p>
      <w:pPr>
        <w:ind w:left="420"/>
      </w:pPr>
      <w:r>
        <w:t xml:space="preserve">2. am 31. Dezember 2015 gemäß § 53c des Versicherungsaufsichtsgesetzes in der am 31. Dezember 2015 geltenden Fassung auch in Verbindung mit § 121a Absatz 1 Satz 2 des Versicherungsaufsichtsgesetzes in der am 31. Dezember 2015 geltenden Fassung verwendet werden konnten, um als Eigenmittel bis zu höchstens 25 Prozent auf die geforderte Solvabilitätsspanne angerechnet zu werden.</w:t>
      </w:r>
    </w:p>
    <w:p>
      <w:r>
        <w:rPr>
          <w:color w:val="555555"/>
          <w:sz w:val="17"/>
        </w:rPr>
        <w:t xml:space="preserve">Zitiervorschlag: § 345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345 VAG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