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340 VAG 2016 — Bestandsschutz für Rückversicherungsunternehmen</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Für Unternehmen, die ausschließlich die Rückversicherung betreiben, dieses Geschäft bereits vor dem 21. Dezember 2004 ausgeübt haben und als Rückversicherungsunternehmen bei der Aufsichtsbehörde registriert sind, gilt die Erlaubnis nach § 8 Absatz 1 im Umfang des bisherigen Geschäftsbetriebs als erteilt. Diese Unternehmen unterliegen jedoch ohne Einschränkung der laufenden Aufsicht.</w:t>
      </w:r>
    </w:p>
    <w:p>
      <w:r>
        <w:t xml:space="preserve">(2) Für Rückversicherungsunternehmen eines Drittstaats, die bestehende Zweigniederlassungen fortführen und dies der Bundesanstalt bis zum 31. Dezember 2007 angezeigt haben, gilt die notwendige Erlaubnis im Umfang des angezeigten Geschäftsbetriebs als erteilt, soweit sie befugt sind, in ihrem Sitzland Rückversicherungsgeschäfte zu betreiben, dort ihre Hauptverwaltung haben, dort nach international anerkannten Grundsätzen beaufsichtigt werden und eine befriedigende Zusammenarbeit der zuständigen Behörden des Sitzlandes mit der Bundesanstalt gewährleistet ist. Diese Unternehmen unterliegen jedoch ohne Einschränkung der laufenden Aufsicht.</w:t>
      </w:r>
    </w:p>
    <w:p>
      <w:r>
        <w:rPr>
          <w:color w:val="555555"/>
          <w:sz w:val="17"/>
        </w:rPr>
        <w:t xml:space="preserve">Zitiervorschlag: § 340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https://recht.nulegal.eu/gesetze/VAG%202016/340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