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338 VAG 2016 — Zuschlag in der Krankenversicherung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 Vertrag über eine substitutive Krankenversicherung vor dem 1. Januar 2000 geschlossen, gilt § 149 mit der Maßgabe, dass</w:t>
      </w:r>
    </w:p>
    <w:p>
      <w:pPr>
        <w:ind w:left="420"/>
      </w:pPr>
      <w:r>
        <w:t xml:space="preserve">1. der Zuschlag erstmals am 1. Januar des Kalenderjahres, das dem 1. Januar 2000 folgt, zu erheben ist,</w:t>
      </w:r>
    </w:p>
    <w:p>
      <w:pPr>
        <w:ind w:left="420"/>
      </w:pPr>
      <w:r>
        <w:t xml:space="preserve">2. der Zuschlag im ersten Jahr 2 Prozent der Bruttoprämie beträgt und an jedem 1. Januar der darauf folgenden Jahre um 2 Prozent, jedoch auf nicht mehr als 10 Prozent der Bruttoprämie, steigt, soweit er nicht wegen Vollendung des 60. Lebensjahres entfällt,</w:t>
      </w:r>
    </w:p>
    <w:p>
      <w:pPr>
        <w:ind w:left="420"/>
      </w:pPr>
      <w:r>
        <w:t xml:space="preserve">3. das Versicherungsunternehmen verpflichtet ist, dem Versicherungsnehmer rechtzeitig vor der erstmaligen Erhebung des Zuschlags dessen Höhe und die jährlichen Steigerungen mitzuteilen, und</w:t>
      </w:r>
    </w:p>
    <w:p>
      <w:pPr>
        <w:ind w:left="420"/>
      </w:pPr>
      <w:r>
        <w:t xml:space="preserve">4. der Zuschlag nur zu erheben ist, wenn der Versicherungsnehmer nicht innerhalb von drei Monaten nach dem Zugang der Mitteilung nach Nummer 3 schriftlich oder elektronisch widerspricht.</w:t>
      </w:r>
    </w:p>
    <w:p>
      <w:r>
        <w:rPr>
          <w:color w:val="555555"/>
          <w:sz w:val="17"/>
        </w:rPr>
        <w:t xml:space="preserve">Zitiervorschlag: § 338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