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336 VAG 2016 — Weitergeltung genehmigter Geschäftspläne in der Lebensversicherung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vor dem 29. Juli 1994 abgeschlossenen Lebensversicherungsverträge (Altbestand) gilt der von der Aufsichtsbehörde bis zu diesem Zeitpunkt genehmigte Geschäftsplan in vollem Umfang weiter. Auf Änderungen dieses Geschäftsplans findet § 12 Absatz 1 Anwendung. Von den Bestimmungen des § 141 sind die Absätze 1, 2, 3 und 6 entsprechend sowie Absatz 5 mit der Maßgabe anzuwenden, dass die Deckungsrückstellung nach dem geltenden Geschäftsplan zu berechnen ist.</w:t>
      </w:r>
    </w:p>
    <w:p>
      <w:r>
        <w:rPr>
          <w:color w:val="555555"/>
          <w:sz w:val="17"/>
        </w:rPr>
        <w:t xml:space="preserve">Zitiervorschlag: § 336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