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331 VAG 2016 — Strafvorschriften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ohne Erlaubnis nach § 8 Absatz 1, § 65 Absatz 1 Satz 1, § 67 Absatz 1 Satz 1, § 168 Absatz 1 Satz 3 oder § 236 Absatz 4 ein Erst- oder Rückversicherungsgeschäft oder einen Pensionsfonds betreibt oder einen dort genannten Geschäftsbetrieb aufnimmt oder</w:t>
      </w:r>
    </w:p>
    <w:p>
      <w:pPr>
        <w:ind w:left="420"/>
      </w:pPr>
      <w:r>
        <w:t xml:space="preserve">2. entgegen § 61 Absatz 2 Satz 2 oder Satz 5, Absatz 3 oder Absatz 4 eine dort genannte Geschäftstätigkeit aufnimmt, erweitert oder ändert oder eine Krankenversicherung betreibt.</w:t>
      </w:r>
    </w:p>
    <w:p>
      <w:r>
        <w:t xml:space="preserve">(2) Mit Freiheitsstrafe bis zu drei Jahren oder mit Geldstrafe wird bestraft, wer</w:t>
      </w:r>
    </w:p>
    <w:p>
      <w:pPr>
        <w:ind w:left="420"/>
      </w:pPr>
      <w:r>
        <w:t xml:space="preserve">1. einer vollziehbaren Anordnung nach § 62 Absatz 3 Satz 2 zuwiderhandelt,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128 Absatz 5 oder</w:t>
      </w:r>
    </w:p>
    <w:p>
      <w:pPr>
        <w:ind w:left="780"/>
      </w:pPr>
      <w:r>
        <w:t xml:space="preserve">b) § 141 Absatz 5 Satz 1 Nummer 2 erster Halbsatz, auch in Verbindung mit § 161 Absatz 1 oder § 162,</w:t>
      </w:r>
    </w:p>
    <w:p>
      <w:pPr>
        <w:ind w:left="420"/>
      </w:pPr>
      <w:r>
        <w:t xml:space="preserve">eine dort genannte Bestätigung nicht richtig abgibt oder</w:t>
      </w:r>
    </w:p>
    <w:p>
      <w:pPr>
        <w:ind w:left="420"/>
      </w:pPr>
      <w:r>
        <w:t xml:space="preserve">3. entgegen § 311 Absatz 1 Satz 1, auch in Verbindung mit Satz 2 oder Absatz 2 Satz 1 zweiter Halbsatz, auch in Verbindung mit Satz 2, eine Anzeige nicht, nicht richtig oder nicht rechtzeitig erstattet.</w:t>
      </w:r>
    </w:p>
    <w:p>
      <w:r>
        <w:t xml:space="preserve">(2a) Mit Freiheitsstrafe bis zu einem Jahr oder mit Geldstrafe wird bestraft, wer als Mitglied eines nach § 189 Absatz 3 Satz 1 in Verbindung mit § 107 Absatz 4 Satz 1 des Aktiengesetzes eingerichteten Prüfungsausschusses eines Versicherungsvereins auf Gegenseitigkeit, der Unternehmen von öffentlichem Interesse nach § 316a Satz 2 Nummer 3 des Handelsgesetzbuchs ist,</w:t>
      </w:r>
    </w:p>
    <w:p>
      <w:pPr>
        <w:ind w:left="420"/>
      </w:pPr>
      <w:r>
        <w:t xml:space="preserve">1. eine in § 332 Absatz 4a bezeichnete Handlung begeht und dafür einen Vermögensvorteil erhält oder sich versprechen lässt oder</w:t>
      </w:r>
    </w:p>
    <w:p>
      <w:pPr>
        <w:ind w:left="420"/>
      </w:pPr>
      <w:r>
        <w:t xml:space="preserve">2. eine in § 332 Absatz 4a bezeichnete Handlung beharrlich wiederholt.</w:t>
      </w:r>
    </w:p>
    <w:p>
      <w:r>
        <w:t xml:space="preserve">(2b) Ebenso wird bestraft, wer als Mitglied des Aufsichtsrats im Sinne des § 189 eines Versicherungsvereins auf Gegenseitigkeit, der Unternehmen von öffentlichem Interesse nach § 316a Satz 2 Nummer 3 des Handelsgesetzbuchs ist,</w:t>
      </w:r>
    </w:p>
    <w:p>
      <w:pPr>
        <w:ind w:left="420"/>
      </w:pPr>
      <w:r>
        <w:t xml:space="preserve">1. eine in § 332 Absatz 4b bezeichnete Handlung begeht und dafür einen Vermögensvorteil erhält oder sich versprechen lässt oder</w:t>
      </w:r>
    </w:p>
    <w:p>
      <w:pPr>
        <w:ind w:left="420"/>
      </w:pPr>
      <w:r>
        <w:t xml:space="preserve">2. eine in § 332 Absatz 4b bezeichnete Handlung beharrlich wiederholt.</w:t>
      </w:r>
    </w:p>
    <w:p>
      <w:r>
        <w:t xml:space="preserve">(3) Handelt der Täter fahrlässig, so ist die Strafe in den Fällen des Absatzes 1 Freiheitsstrafe bis zu drei Jahren oder Geldstrafe und in den Fällen des Absatzes 2 Freiheitsstrafe bis zu einem Jahr oder Geldstrafe.</w:t>
      </w:r>
    </w:p>
    <w:p>
      <w:r>
        <w:rPr>
          <w:color w:val="555555"/>
          <w:sz w:val="17"/>
        </w:rPr>
        <w:t xml:space="preserve">Zitiervorschlag: § 331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