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VAG 2016 — Entsprechende Anwendung gesellschaftsrechtlicher Vorschriften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188 Absatz 1 Satz 1 und § 195 Absatz 3 sind entsprechend auch für Versicherungsaktiengesellschaften anzuwenden.</w:t>
      </w:r>
    </w:p>
    <w:p>
      <w:r>
        <w:t xml:space="preserve">(2) Soweit in diesem Gesetz Vorschriften für den Vorstand oder den Aufsichtsrat getroffen sind und öffentlich-rechtliche Versicherungsunternehmen Organe mit dieser Bezeichnung nicht besitzen, tritt an die Stelle des Vorstands das entsprechende Geschäftsführungsorgan und an die Stelle des Aufsichtsrats das entsprechende Überwachungsorgan. Für das Geschäftsführungsorgan öffentlich-rechtlicher Versicherungsunternehmen gelten die §§ 80 und 91 Absatz 2 des Aktiengesetzes entsprechend. Für das Überwachungsorgan öffentlich-rechtlicher Versicherungsunternehmen gilt § 80 des Aktiengesetzes entsprechend.</w:t>
      </w:r>
    </w:p>
    <w:p>
      <w:r>
        <w:rPr>
          <w:color w:val="555555"/>
          <w:sz w:val="17"/>
        </w:rPr>
        <w:t xml:space="preserve">Zitiervorschlag: § 33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