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324 VAG 2016 — Zusammenarbeit der Aufsichtsbehörden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und die aufsichtsführenden Landesbehörden sind verpflichtet, einander ihre Rechts- und Verwaltungsgrundsätze mitzuteilen. Dies gilt auch für die Grundsätze, die die Landesbehörden bei der Beaufsichtigung der öffentlich-rechtlichen Versicherungsunternehmen aufstellen sowie die Entwürfe von Rechtsverordnungen, Allgemeinverfügungen und Richtlinien, wenn Belange der anderen Aufsichtsbehörden berührt sein können.</w:t>
      </w:r>
    </w:p>
    <w:p>
      <w:r>
        <w:t xml:space="preserve">(2) Die Landesaufsichtsbehörden arbeiten mit der Bundesanstalt zusammen, wann immer dies erforderlich ist, um ihre Aufgaben gemäß der Richtlinie 2014/17/EU wahrzunehmen, einschließlich für die Zwecke der Zusammenarbeit mit der Europäischen Bankenaufsichtsbehörde gemäß dieser Richtlinie.</w:t>
      </w:r>
    </w:p>
    <w:p>
      <w:r>
        <w:rPr>
          <w:color w:val="555555"/>
          <w:sz w:val="17"/>
        </w:rPr>
        <w:t xml:space="preserve">Zitiervorschlag: § 324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