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323 VAG 2016 — Verfahren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Ein nach § 322 Absatz 1 gestellter Antrag kann jederzeit von der früher aufsichtsführenden Landesbehörde zum 1. Januar mit Wirkung zum 1. Januar des folgenden Jahres zurückgenommen werden.</w:t>
      </w:r>
    </w:p>
    <w:p>
      <w:r>
        <w:t xml:space="preserve">(2) Hat die Bundesanstalt die Aufsicht gemäß § 322 Absatz 2 übernommen, so kann der Antrag mit der Wirkung nach Absatz 1 nur von allen beteiligten Landesregierungen gemeinsam zurückgenommen werden.</w:t>
      </w:r>
    </w:p>
    <w:p>
      <w:r>
        <w:t xml:space="preserve">(3) Bei dem Übergang von Aufsichtsbefugnissen nach den §§ 321 und 322 hat die Bundesanstalt den Zeitpunkt der Übernahme oder der Übertragung der Aufsicht im Bundesanzeiger mindestens zwei Wochen vorher bekannt zu geben.</w:t>
      </w:r>
    </w:p>
    <w:p>
      <w:r>
        <w:rPr>
          <w:color w:val="555555"/>
          <w:sz w:val="17"/>
        </w:rPr>
        <w:t xml:space="preserve">Zitiervorschlag: § 323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