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322 VAG 2016 — Übertragung der Aufsicht auf die Bundesanstalt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Fachaufsicht über ein öffentlich-rechtliches Wettbewerbs-Versicherungsunternehmen, dessen Tätigkeit sich auf das Gebiet eines Landes beschränkt, kann auf Antrag der zuständigen Landesbehörden von der Bundesanstalt übernommen werden.</w:t>
      </w:r>
    </w:p>
    <w:p>
      <w:r>
        <w:t xml:space="preserve">(2) Bei anderen öffentlich-rechtlichen Versicherungsunternehmen, die nicht Wettbewerbs-Versicherungsunternehmen sind, kann die Bundesanstalt die Aufsicht übernehmen, wenn die beteiligten Landesregierungen dies beantragen.</w:t>
      </w:r>
    </w:p>
    <w:p>
      <w:r>
        <w:rPr>
          <w:color w:val="555555"/>
          <w:sz w:val="17"/>
        </w:rPr>
        <w:t xml:space="preserve">Zitiervorschlag: § 322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https://recht.nulegal.eu/gesetze/VAG%202016/322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