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321 VAG 2016 — Übertragung der Aufsicht auf eine Landesaufsichtsbehörde</w:t>
      </w:r>
    </w:p>
    <w:p>
      <w:r>
        <w:rPr>
          <w:color w:val="555555"/>
          <w:sz w:val="18"/>
        </w:rPr>
        <w:t xml:space="preserve">Versicherungsaufsichtsgesetz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Bundesministerium der Finanzen kann auf Antrag der Bundesanstalt die Aufsicht über private Versicherungsunternehmen von geringerer wirtschaftlicher Bedeutung, über Pensionsfonds und über öffentlich-rechtliche Wettbewerbs-Versicherungsunternehmen mit Zustimmung der zuständigen Landesaufsichtsbehörde auf diese übertragen.</w:t>
      </w:r>
    </w:p>
    <w:p>
      <w:r>
        <w:t xml:space="preserve">(2) Auch nach Übertragung der Aufsicht kann das Bundesministerium der Finanzen die Aufsicht über Unternehmen im Sinne des Absatzes 1 wieder der Bundesanstalt übertragen, insbesondere, wenn die Unternehmen größere wirtschaftliche Bedeutung erlangt haben.</w:t>
      </w:r>
    </w:p>
    <w:p>
      <w:r>
        <w:rPr>
          <w:color w:val="555555"/>
          <w:sz w:val="17"/>
        </w:rPr>
        <w:t xml:space="preserve">Zitiervorschlag: § 321 VAG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https://recht.nulegal.eu/gesetze/VAG%202016/321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