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316 VAG 2016 — Erlöschen bestimmter Versicherungsverträge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die Eröffnung des Insolvenzverfahrens erlöschen</w:t>
      </w:r>
    </w:p>
    <w:p>
      <w:pPr>
        <w:ind w:left="420"/>
      </w:pPr>
      <w:r>
        <w:t xml:space="preserve">1. Lebensversicherungen,</w:t>
      </w:r>
    </w:p>
    <w:p>
      <w:pPr>
        <w:ind w:left="420"/>
      </w:pPr>
      <w:r>
        <w:t xml:space="preserve">2. Krankenversicherungen der in § 146 genannten Art,</w:t>
      </w:r>
    </w:p>
    <w:p>
      <w:pPr>
        <w:ind w:left="420"/>
      </w:pPr>
      <w:r>
        <w:t xml:space="preserve">3. private Pflegepflichtversicherungen nach § 148,</w:t>
      </w:r>
    </w:p>
    <w:p>
      <w:pPr>
        <w:ind w:left="420"/>
      </w:pPr>
      <w:r>
        <w:t xml:space="preserve">4. Unfallversicherungen der in § 161 genannten Art und</w:t>
      </w:r>
    </w:p>
    <w:p>
      <w:pPr>
        <w:ind w:left="420"/>
      </w:pPr>
      <w:r>
        <w:t xml:space="preserve">5. Rentenansprüche aus den in § 162 genannten Versicherungen.</w:t>
      </w:r>
    </w:p>
    <w:p>
      <w:r>
        <w:t xml:space="preserve">Die Anspruchsberechtigten können den auf sie zum Zeitpunkt der Eröffnung des Insolvenzverfahrens entfallenden Anteil an dem Mindestumfang des Sicherungsvermögens nach § 125 Absatz 2 fordern. § 315 Absatz 1 Satz 2 und Absatz 2 ist entsprechend anzuwenden.</w:t>
      </w:r>
    </w:p>
    <w:p>
      <w:r>
        <w:rPr>
          <w:color w:val="555555"/>
          <w:sz w:val="17"/>
        </w:rPr>
        <w:t xml:space="preserve">Zitiervorschlag: § 316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https://recht.nulegal.eu/gesetze/VAG%202016/316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