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308c VAG 2016 — Maßnahmen bei Verstößen gegen die Verordnung (EU) 2017/2402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(1) Verstößt ein nach diesem Gesetz beaufsichtigtes Unternehmen als Originator oder ursprünglicher Kreditgeber gegen die Anforderungen der Artikel 6, 7, 9, 18 bis 26, 26b bis 26e oder 27 Absatz 1 oder 4 der Verordnung (EU) 2017/2402, kann die Aufsichtsbehörde anordnen, dass die den Verstoß begründenden Handlungen oder Verhaltensweisen dauerhaft eingestellt werden, sowie verlangen, dass deren Wiederholung verhindert wird.</w:t>
      </w:r>
    </w:p>
    <w:p>
      <w:r>
        <w:t xml:space="preserve">(2) Wird eine Verbriefung als STS-Verbriefung im Sinne des Artikels 18 der Verordnung (EU) 2017/2402 bezeichnet und hat ein Originator, ein Sponsor oder eine Verbriefungszweckgesellschaft gegen eine der Anforderungen der Artikel 19 bis 26 oder der Artikel 26b bis 26e der Verordnung (EU) 2017/2402 verstoßen oder macht ein Originator eine irreführende Meldung nach Artikel 27 Absatz 1 dieser Verordnung, kann die Aufsichtsbehörde vorübergehend verbieten, dass ein beaufsichtigtes Unternehmen als Originator gemäß Artikel 27 Absatz 1 dieser Verordnung meldet, dass seine Verbriefungen die Anforderungen der Artikel 19 bis 22, der Artikel 23 bis 26 oder der Artikel 26b bis 26e dieser Verordnung erfüllen.</w:t>
      </w:r>
    </w:p>
    <w:p>
      <w:r>
        <w:rPr>
          <w:color w:val="555555"/>
          <w:sz w:val="17"/>
        </w:rPr>
        <w:t xml:space="preserve">Zitiervorschlag: § 308c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https://recht.nulegal.eu/gesetze/VAG%202016/308c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308c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