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308a VAG 2016 — Maßnahmen gegenüber PRIIP-Herstellern und PRIIP-Verkäufern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Aufsichtsbehörde kann gegenüber jedem Versicherungsunternehmen, das über ein PRIIP im Sinne des Artikels 4 Nummer 3 der Verordnung (EU) Nr. 1286/2014 berät oder es verkauft oder das Hersteller von PRIIP im Sinne des Artikels 4 Nummer 4 der Verordnung (EU) Nr. 1286/2014 ist, alle Maßnahmen treffen, die geeignet und erforderlich sind, um die Einhaltung der Anforderungen der Verordnung (EU) Nr. 1286/2014 und der auf Grundlage dieser Verordnung erlassenen delegierten Rechtsakte der Europäischen Kommission und technischen Regulierungsstandards zu überwachen. Insbesondere kann sie</w:t>
      </w:r>
    </w:p>
    <w:p>
      <w:pPr>
        <w:ind w:left="420"/>
      </w:pPr>
      <w:r>
        <w:t xml:space="preserve">1. bei einem Verstoß gegen Artikel 5 Absatz 1, die Artikel 6, 7 und 8 Absatz 1 bis 3, die Artikel 9, 10 Absatz 1, Artikel 13 Absatz 1, 3 und 4, die Artikel 14 und 19 der Verordnung (EU) Nr. 1286/2014 die Vermarktung, den Vertrieb oder den Verkauf des PRIIP vorübergehend oder dauerhaft untersagen,</w:t>
      </w:r>
    </w:p>
    <w:p>
      <w:pPr>
        <w:ind w:left="420"/>
      </w:pPr>
      <w:r>
        <w:t xml:space="preserve">2. die Bereitstellung eines Basisinformationsblattes untersagen, das nicht den Anforderungen der Artikel 6 bis 8 oder 10 der Verordnung (EU) Nr. 1286/2014 genügt, und</w:t>
      </w:r>
    </w:p>
    <w:p>
      <w:pPr>
        <w:ind w:left="420"/>
      </w:pPr>
      <w:r>
        <w:t xml:space="preserve">3. den Hersteller von PRIIP verpflichten, eine neue Fassung des Basisinformationsblattes zu veröffentlichen, sofern die veröffentlichte Fassung nicht den Anforderungen der Artikel 6 bis 8 oder 10 der Verordnung (EU) Nr. 1286/2014 genügt, und</w:t>
      </w:r>
    </w:p>
    <w:p>
      <w:pPr>
        <w:ind w:left="420"/>
      </w:pPr>
      <w:r>
        <w:t xml:space="preserve">4. bei einem Verstoß gegen eine der in Nummer 1 genannten Vorschriften auf ihrer Internetseite eine Warnung unter Nennung des verantwortlichen Versicherungsunternehmens sowie der Art des Verstoßes veröffentlichen.</w:t>
      </w:r>
    </w:p>
    <w:p>
      <w:r>
        <w:rPr>
          <w:color w:val="555555"/>
          <w:sz w:val="17"/>
        </w:rPr>
        <w:t xml:space="preserve">Zitiervorschlag: § 308a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https://recht.nulegal.eu/gesetze/VAG%202016/308a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